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34819C" w14:textId="01FD479C" w:rsidR="00BB1172" w:rsidRPr="00181B8C" w:rsidRDefault="00BB1172" w:rsidP="00BB1172">
      <w:pPr>
        <w:widowControl w:val="0"/>
        <w:spacing w:after="0" w:line="240" w:lineRule="auto"/>
        <w:jc w:val="both"/>
        <w:rPr>
          <w:rFonts w:asciiTheme="majorBidi" w:eastAsia="Calibri" w:hAnsiTheme="majorBidi" w:cstheme="majorBidi"/>
          <w:b/>
          <w:bCs/>
          <w:sz w:val="24"/>
          <w:szCs w:val="24"/>
          <w:rtl/>
        </w:rPr>
      </w:pPr>
      <w:r w:rsidRPr="00181B8C">
        <w:rPr>
          <w:rFonts w:asciiTheme="majorBidi" w:eastAsia="Calibri" w:hAnsiTheme="majorBidi" w:cstheme="majorBidi"/>
          <w:b/>
          <w:bCs/>
          <w:sz w:val="24"/>
          <w:szCs w:val="24"/>
          <w:rtl/>
        </w:rPr>
        <w:t xml:space="preserve">المجلة الدولية للفنون الطبية، المجلد الثاني، العدد الأول، يناير 2020، الصفحات 157- 161. </w:t>
      </w:r>
    </w:p>
    <w:tbl>
      <w:tblPr>
        <w:tblW w:w="5000" w:type="pct"/>
        <w:tblBorders>
          <w:top w:val="thinThickSmallGap" w:sz="24" w:space="0" w:color="538135"/>
          <w:bottom w:val="thinThickSmallGap" w:sz="24" w:space="0" w:color="538135"/>
        </w:tblBorders>
        <w:tblLook w:val="04A0" w:firstRow="1" w:lastRow="0" w:firstColumn="1" w:lastColumn="0" w:noHBand="0" w:noVBand="1"/>
      </w:tblPr>
      <w:tblGrid>
        <w:gridCol w:w="1936"/>
        <w:gridCol w:w="5589"/>
        <w:gridCol w:w="1830"/>
      </w:tblGrid>
      <w:tr w:rsidR="00345FBB" w:rsidRPr="00181B8C" w14:paraId="421653E4" w14:textId="77777777" w:rsidTr="00BB1172">
        <w:trPr>
          <w:trHeight w:val="1961"/>
        </w:trPr>
        <w:tc>
          <w:tcPr>
            <w:tcW w:w="1035" w:type="pct"/>
            <w:shd w:val="clear" w:color="auto" w:fill="auto"/>
            <w:vAlign w:val="center"/>
          </w:tcPr>
          <w:p w14:paraId="5D07324F" w14:textId="77777777" w:rsidR="00345FBB" w:rsidRPr="00181B8C" w:rsidRDefault="00345FBB" w:rsidP="00345FBB">
            <w:pPr>
              <w:widowControl w:val="0"/>
              <w:bidi w:val="0"/>
              <w:spacing w:after="0" w:line="240" w:lineRule="auto"/>
              <w:jc w:val="center"/>
              <w:rPr>
                <w:rFonts w:asciiTheme="majorBidi" w:eastAsia="Calibri" w:hAnsiTheme="majorBidi" w:cstheme="majorBidi"/>
                <w:sz w:val="24"/>
                <w:szCs w:val="24"/>
              </w:rPr>
            </w:pPr>
            <w:r w:rsidRPr="00181B8C">
              <w:rPr>
                <w:rFonts w:asciiTheme="majorBidi" w:eastAsia="Calibri" w:hAnsiTheme="majorBidi" w:cstheme="majorBidi"/>
                <w:noProof/>
                <w:sz w:val="24"/>
                <w:szCs w:val="24"/>
              </w:rPr>
              <w:drawing>
                <wp:inline distT="0" distB="0" distL="0" distR="0" wp14:anchorId="07F32FE8" wp14:editId="178192ED">
                  <wp:extent cx="1054735" cy="1123627"/>
                  <wp:effectExtent l="0" t="0" r="0" b="635"/>
                  <wp:docPr id="6" name="Picture 1" descr="F:\IJMA-2019\covers\1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JMA-2019\covers\11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5113" cy="1134683"/>
                          </a:xfrm>
                          <a:prstGeom prst="rect">
                            <a:avLst/>
                          </a:prstGeom>
                          <a:noFill/>
                          <a:ln>
                            <a:noFill/>
                          </a:ln>
                        </pic:spPr>
                      </pic:pic>
                    </a:graphicData>
                  </a:graphic>
                </wp:inline>
              </w:drawing>
            </w:r>
          </w:p>
        </w:tc>
        <w:tc>
          <w:tcPr>
            <w:tcW w:w="2987" w:type="pct"/>
            <w:shd w:val="clear" w:color="auto" w:fill="auto"/>
          </w:tcPr>
          <w:p w14:paraId="7821F5E2" w14:textId="77777777" w:rsidR="00345FBB" w:rsidRPr="00181B8C" w:rsidRDefault="00345FBB" w:rsidP="00345FBB">
            <w:pPr>
              <w:widowControl w:val="0"/>
              <w:bidi w:val="0"/>
              <w:spacing w:after="0" w:line="240" w:lineRule="auto"/>
              <w:jc w:val="both"/>
              <w:rPr>
                <w:rFonts w:asciiTheme="majorBidi" w:eastAsia="Calibri" w:hAnsiTheme="majorBidi" w:cstheme="majorBidi"/>
                <w:sz w:val="24"/>
                <w:szCs w:val="24"/>
              </w:rPr>
            </w:pPr>
          </w:p>
          <w:p w14:paraId="1B8D050C" w14:textId="77777777" w:rsidR="00BB1172" w:rsidRPr="00181B8C" w:rsidRDefault="00BB1172" w:rsidP="00BB1172">
            <w:pPr>
              <w:widowControl w:val="0"/>
              <w:bidi w:val="0"/>
              <w:spacing w:after="0" w:line="240" w:lineRule="auto"/>
              <w:jc w:val="center"/>
              <w:rPr>
                <w:rFonts w:asciiTheme="majorBidi" w:eastAsia="Calibri" w:hAnsiTheme="majorBidi" w:cstheme="majorBidi"/>
                <w:sz w:val="24"/>
                <w:szCs w:val="24"/>
                <w:rtl/>
                <w:lang w:bidi="ar-EG"/>
              </w:rPr>
            </w:pPr>
            <w:r w:rsidRPr="00181B8C">
              <w:rPr>
                <w:rFonts w:asciiTheme="majorBidi" w:eastAsia="Calibri" w:hAnsiTheme="majorBidi" w:cstheme="majorBidi"/>
                <w:sz w:val="24"/>
                <w:szCs w:val="24"/>
                <w:rtl/>
                <w:lang w:bidi="ar-EG"/>
              </w:rPr>
              <w:t xml:space="preserve">متاح علي الموقع الالكتروني للمجلة </w:t>
            </w:r>
          </w:p>
          <w:p w14:paraId="201BFF65" w14:textId="77777777" w:rsidR="00345FBB" w:rsidRPr="00181B8C" w:rsidRDefault="00345FBB" w:rsidP="00345FBB">
            <w:pPr>
              <w:widowControl w:val="0"/>
              <w:bidi w:val="0"/>
              <w:spacing w:after="0" w:line="240" w:lineRule="auto"/>
              <w:jc w:val="center"/>
              <w:rPr>
                <w:rFonts w:asciiTheme="majorBidi" w:eastAsia="Calibri" w:hAnsiTheme="majorBidi" w:cstheme="majorBidi"/>
                <w:sz w:val="24"/>
                <w:szCs w:val="24"/>
              </w:rPr>
            </w:pPr>
            <w:r w:rsidRPr="00181B8C">
              <w:rPr>
                <w:rFonts w:asciiTheme="majorBidi" w:eastAsia="Calibri" w:hAnsiTheme="majorBidi" w:cstheme="majorBidi"/>
                <w:sz w:val="24"/>
                <w:szCs w:val="24"/>
              </w:rPr>
              <w:t>https://ijma.journals.ekb.eg/</w:t>
            </w:r>
          </w:p>
          <w:p w14:paraId="6D218A2C" w14:textId="77777777" w:rsidR="00345FBB" w:rsidRPr="00181B8C" w:rsidRDefault="00345FBB" w:rsidP="00345FBB">
            <w:pPr>
              <w:widowControl w:val="0"/>
              <w:bidi w:val="0"/>
              <w:spacing w:after="0" w:line="240" w:lineRule="auto"/>
              <w:jc w:val="center"/>
              <w:rPr>
                <w:rFonts w:asciiTheme="majorBidi" w:eastAsia="Calibri" w:hAnsiTheme="majorBidi" w:cstheme="majorBidi"/>
                <w:sz w:val="24"/>
                <w:szCs w:val="24"/>
              </w:rPr>
            </w:pPr>
          </w:p>
        </w:tc>
        <w:tc>
          <w:tcPr>
            <w:tcW w:w="978" w:type="pct"/>
            <w:shd w:val="clear" w:color="auto" w:fill="auto"/>
            <w:vAlign w:val="center"/>
          </w:tcPr>
          <w:p w14:paraId="3ABEBAF0" w14:textId="77777777" w:rsidR="00345FBB" w:rsidRPr="00181B8C" w:rsidRDefault="00345FBB" w:rsidP="00345FBB">
            <w:pPr>
              <w:widowControl w:val="0"/>
              <w:bidi w:val="0"/>
              <w:spacing w:after="0" w:line="240" w:lineRule="auto"/>
              <w:jc w:val="center"/>
              <w:rPr>
                <w:rFonts w:asciiTheme="majorBidi" w:eastAsia="Calibri" w:hAnsiTheme="majorBidi" w:cstheme="majorBidi"/>
                <w:sz w:val="24"/>
                <w:szCs w:val="24"/>
              </w:rPr>
            </w:pPr>
            <w:r w:rsidRPr="00181B8C">
              <w:rPr>
                <w:rFonts w:asciiTheme="majorBidi" w:eastAsia="Calibri" w:hAnsiTheme="majorBidi" w:cstheme="majorBidi"/>
                <w:noProof/>
                <w:sz w:val="24"/>
                <w:szCs w:val="24"/>
              </w:rPr>
              <w:drawing>
                <wp:inline distT="0" distB="0" distL="0" distR="0" wp14:anchorId="60EE580D" wp14:editId="32B4CF47">
                  <wp:extent cx="948582" cy="1162060"/>
                  <wp:effectExtent l="0" t="0" r="4445" b="0"/>
                  <wp:docPr id="9" name="Picture 9" descr="F:\IJMA-2019\imhot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JMA-2019\imhoteb.jpg"/>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978333" cy="1198506"/>
                          </a:xfrm>
                          <a:prstGeom prst="rect">
                            <a:avLst/>
                          </a:prstGeom>
                          <a:noFill/>
                          <a:ln>
                            <a:noFill/>
                          </a:ln>
                        </pic:spPr>
                      </pic:pic>
                    </a:graphicData>
                  </a:graphic>
                </wp:inline>
              </w:drawing>
            </w:r>
          </w:p>
        </w:tc>
      </w:tr>
    </w:tbl>
    <w:p w14:paraId="04F9FDBD" w14:textId="77777777" w:rsidR="00BB1172" w:rsidRPr="00181B8C" w:rsidRDefault="00BB1172" w:rsidP="00BB1172">
      <w:pPr>
        <w:widowControl w:val="0"/>
        <w:bidi w:val="0"/>
        <w:spacing w:after="0" w:line="240" w:lineRule="auto"/>
        <w:jc w:val="right"/>
        <w:rPr>
          <w:rFonts w:asciiTheme="majorBidi" w:eastAsia="Calibri" w:hAnsiTheme="majorBidi" w:cstheme="majorBidi"/>
          <w:b/>
          <w:bCs/>
          <w:color w:val="002060"/>
          <w:sz w:val="24"/>
          <w:szCs w:val="24"/>
        </w:rPr>
      </w:pPr>
      <w:r w:rsidRPr="00181B8C">
        <w:rPr>
          <w:rFonts w:asciiTheme="majorBidi" w:eastAsia="Calibri" w:hAnsiTheme="majorBidi" w:cstheme="majorBidi"/>
          <w:b/>
          <w:bCs/>
          <w:color w:val="002060"/>
          <w:sz w:val="24"/>
          <w:szCs w:val="24"/>
          <w:rtl/>
        </w:rPr>
        <w:t>مقالة أصيلة</w:t>
      </w:r>
    </w:p>
    <w:p w14:paraId="422DEA75" w14:textId="77777777" w:rsidR="00345FBB" w:rsidRPr="00181B8C" w:rsidRDefault="00345FBB" w:rsidP="00345FBB">
      <w:pPr>
        <w:widowControl w:val="0"/>
        <w:bidi w:val="0"/>
        <w:spacing w:after="0" w:line="240" w:lineRule="auto"/>
        <w:jc w:val="center"/>
        <w:rPr>
          <w:rFonts w:asciiTheme="majorBidi" w:eastAsia="Calibri" w:hAnsiTheme="majorBidi" w:cstheme="majorBidi"/>
          <w:b/>
          <w:bCs/>
          <w:sz w:val="24"/>
          <w:szCs w:val="24"/>
        </w:rPr>
      </w:pPr>
    </w:p>
    <w:p w14:paraId="2CCABFA1" w14:textId="467DC571" w:rsidR="00B6716D" w:rsidRPr="00E77BE8" w:rsidRDefault="00B6716D" w:rsidP="00345FBB">
      <w:pPr>
        <w:widowControl w:val="0"/>
        <w:bidi w:val="0"/>
        <w:spacing w:after="0" w:line="240" w:lineRule="auto"/>
        <w:jc w:val="center"/>
        <w:rPr>
          <w:rFonts w:asciiTheme="majorBidi" w:eastAsia="Calibri" w:hAnsiTheme="majorBidi" w:cstheme="majorBidi"/>
          <w:b/>
          <w:bCs/>
          <w:sz w:val="32"/>
          <w:szCs w:val="32"/>
          <w:rtl/>
          <w:lang w:bidi="ar-EG"/>
        </w:rPr>
      </w:pPr>
      <w:r w:rsidRPr="00E77BE8">
        <w:rPr>
          <w:rFonts w:asciiTheme="majorBidi" w:eastAsia="Calibri" w:hAnsiTheme="majorBidi" w:cstheme="majorBidi" w:hint="cs"/>
          <w:b/>
          <w:bCs/>
          <w:sz w:val="32"/>
          <w:szCs w:val="32"/>
          <w:rtl/>
          <w:lang w:bidi="ar-EG"/>
        </w:rPr>
        <w:t xml:space="preserve">تأثير العلاج الضوئي علي مستوي مصل عامل نخر الورم- ألفا لدي حديثي الولادة  </w:t>
      </w:r>
    </w:p>
    <w:p w14:paraId="67EBE7BE" w14:textId="2E05F014" w:rsidR="00345FBB" w:rsidRDefault="00B6716D" w:rsidP="00345FBB">
      <w:pPr>
        <w:widowControl w:val="0"/>
        <w:bidi w:val="0"/>
        <w:spacing w:after="0" w:line="240" w:lineRule="auto"/>
        <w:jc w:val="center"/>
        <w:rPr>
          <w:rFonts w:asciiTheme="majorBidi" w:eastAsia="Calibri" w:hAnsiTheme="majorBidi" w:cstheme="majorBidi"/>
          <w:b/>
          <w:bCs/>
          <w:sz w:val="24"/>
          <w:szCs w:val="24"/>
          <w:rtl/>
        </w:rPr>
      </w:pPr>
      <w:r>
        <w:rPr>
          <w:rFonts w:asciiTheme="majorBidi" w:eastAsia="Calibri" w:hAnsiTheme="majorBidi" w:cstheme="majorBidi" w:hint="cs"/>
          <w:b/>
          <w:bCs/>
          <w:sz w:val="24"/>
          <w:szCs w:val="24"/>
          <w:rtl/>
        </w:rPr>
        <w:t>محمد علي نعيم</w:t>
      </w:r>
      <w:r>
        <w:rPr>
          <w:rFonts w:asciiTheme="majorBidi" w:eastAsia="Calibri" w:hAnsiTheme="majorBidi" w:cstheme="majorBidi" w:hint="cs"/>
          <w:b/>
          <w:bCs/>
          <w:sz w:val="24"/>
          <w:szCs w:val="24"/>
          <w:vertAlign w:val="superscript"/>
          <w:rtl/>
        </w:rPr>
        <w:t>1</w:t>
      </w:r>
      <w:r>
        <w:rPr>
          <w:rFonts w:asciiTheme="majorBidi" w:eastAsia="Calibri" w:hAnsiTheme="majorBidi" w:cstheme="majorBidi" w:hint="cs"/>
          <w:b/>
          <w:bCs/>
          <w:sz w:val="24"/>
          <w:szCs w:val="24"/>
          <w:rtl/>
        </w:rPr>
        <w:t>، محمد عبدالسلام زنون</w:t>
      </w:r>
      <w:r>
        <w:rPr>
          <w:rFonts w:asciiTheme="majorBidi" w:eastAsia="Calibri" w:hAnsiTheme="majorBidi" w:cstheme="majorBidi" w:hint="cs"/>
          <w:b/>
          <w:bCs/>
          <w:sz w:val="24"/>
          <w:szCs w:val="24"/>
          <w:vertAlign w:val="superscript"/>
          <w:rtl/>
        </w:rPr>
        <w:t>2</w:t>
      </w:r>
    </w:p>
    <w:p w14:paraId="1FEDCED5" w14:textId="456D465A" w:rsidR="00FF698B" w:rsidRDefault="00B6716D" w:rsidP="00B6716D">
      <w:pPr>
        <w:widowControl w:val="0"/>
        <w:bidi w:val="0"/>
        <w:spacing w:after="0" w:line="240" w:lineRule="auto"/>
        <w:jc w:val="center"/>
        <w:rPr>
          <w:rFonts w:asciiTheme="majorBidi" w:eastAsia="Calibri" w:hAnsiTheme="majorBidi" w:cstheme="majorBidi"/>
          <w:sz w:val="24"/>
          <w:szCs w:val="24"/>
          <w:rtl/>
        </w:rPr>
      </w:pPr>
      <w:r w:rsidRPr="00B6716D">
        <w:rPr>
          <w:rFonts w:asciiTheme="majorBidi" w:eastAsia="Calibri" w:hAnsiTheme="majorBidi" w:cstheme="majorBidi" w:hint="cs"/>
          <w:sz w:val="24"/>
          <w:szCs w:val="24"/>
          <w:rtl/>
        </w:rPr>
        <w:t>طبيب</w:t>
      </w:r>
      <w:r>
        <w:rPr>
          <w:rFonts w:asciiTheme="majorBidi" w:eastAsia="Calibri" w:hAnsiTheme="majorBidi" w:cstheme="majorBidi" w:hint="cs"/>
          <w:sz w:val="24"/>
          <w:szCs w:val="24"/>
          <w:rtl/>
        </w:rPr>
        <w:t xml:space="preserve"> مقيم بقسم طب الأطفال، مستشفي </w:t>
      </w:r>
      <w:r w:rsidR="00FF698B">
        <w:rPr>
          <w:rFonts w:asciiTheme="majorBidi" w:eastAsia="Calibri" w:hAnsiTheme="majorBidi" w:cstheme="majorBidi" w:hint="cs"/>
          <w:sz w:val="24"/>
          <w:szCs w:val="24"/>
          <w:rtl/>
        </w:rPr>
        <w:t xml:space="preserve">دمنهور العام، وزارة الصحة، مصر. </w:t>
      </w:r>
    </w:p>
    <w:p w14:paraId="34D7FB2B" w14:textId="06D6F280" w:rsidR="00B6716D" w:rsidRPr="00B6716D" w:rsidRDefault="00FF698B" w:rsidP="00001EA8">
      <w:pPr>
        <w:widowControl w:val="0"/>
        <w:bidi w:val="0"/>
        <w:spacing w:after="0" w:line="240" w:lineRule="auto"/>
        <w:jc w:val="center"/>
        <w:rPr>
          <w:rFonts w:asciiTheme="majorBidi" w:eastAsia="Calibri" w:hAnsiTheme="majorBidi" w:cstheme="majorBidi"/>
          <w:sz w:val="24"/>
          <w:szCs w:val="24"/>
        </w:rPr>
      </w:pPr>
      <w:r>
        <w:rPr>
          <w:rFonts w:asciiTheme="majorBidi" w:eastAsia="Calibri" w:hAnsiTheme="majorBidi" w:cstheme="majorBidi" w:hint="cs"/>
          <w:sz w:val="24"/>
          <w:szCs w:val="24"/>
          <w:rtl/>
        </w:rPr>
        <w:t xml:space="preserve">قسم طب الأطفال، </w:t>
      </w:r>
      <w:r w:rsidR="00001EA8" w:rsidRPr="00001EA8">
        <w:rPr>
          <w:rFonts w:asciiTheme="majorBidi" w:eastAsia="Calibri" w:hAnsiTheme="majorBidi" w:cstheme="majorBidi"/>
          <w:sz w:val="24"/>
          <w:szCs w:val="24"/>
          <w:rtl/>
        </w:rPr>
        <w:t>كلية الطب بدمياط</w:t>
      </w:r>
      <w:r>
        <w:rPr>
          <w:rFonts w:asciiTheme="majorBidi" w:eastAsia="Calibri" w:hAnsiTheme="majorBidi" w:cstheme="majorBidi" w:hint="cs"/>
          <w:sz w:val="24"/>
          <w:szCs w:val="24"/>
          <w:rtl/>
        </w:rPr>
        <w:t xml:space="preserve">، جامعة الأزهر، مصر. </w:t>
      </w:r>
      <w:r w:rsidR="00B6716D" w:rsidRPr="00B6716D">
        <w:rPr>
          <w:rFonts w:asciiTheme="majorBidi" w:eastAsia="Calibri" w:hAnsiTheme="majorBidi" w:cstheme="majorBidi" w:hint="cs"/>
          <w:sz w:val="24"/>
          <w:szCs w:val="24"/>
          <w:rtl/>
        </w:rPr>
        <w:t xml:space="preserve"> </w:t>
      </w:r>
    </w:p>
    <w:p w14:paraId="3C0DD4AC" w14:textId="77777777" w:rsidR="00345FBB" w:rsidRPr="00181B8C" w:rsidRDefault="00345FBB" w:rsidP="00345FBB">
      <w:pPr>
        <w:widowControl w:val="0"/>
        <w:bidi w:val="0"/>
        <w:spacing w:after="0" w:line="240" w:lineRule="auto"/>
        <w:jc w:val="center"/>
        <w:rPr>
          <w:rFonts w:asciiTheme="majorBidi" w:eastAsia="Calibri" w:hAnsiTheme="majorBidi" w:cstheme="majorBidi"/>
          <w:sz w:val="24"/>
          <w:szCs w:val="24"/>
        </w:rPr>
      </w:pPr>
    </w:p>
    <w:p w14:paraId="104CEDF5" w14:textId="77777777" w:rsidR="00345FBB" w:rsidRPr="00181B8C" w:rsidRDefault="00345FBB" w:rsidP="00345FBB">
      <w:pPr>
        <w:widowControl w:val="0"/>
        <w:bidi w:val="0"/>
        <w:spacing w:after="0" w:line="240" w:lineRule="auto"/>
        <w:jc w:val="both"/>
        <w:rPr>
          <w:rFonts w:asciiTheme="majorBidi" w:eastAsia="Calibri" w:hAnsiTheme="majorBidi" w:cstheme="majorBidi"/>
          <w:sz w:val="20"/>
          <w:szCs w:val="20"/>
        </w:rPr>
      </w:pPr>
      <w:r w:rsidRPr="00181B8C">
        <w:rPr>
          <w:rFonts w:asciiTheme="majorBidi" w:eastAsia="Calibri" w:hAnsiTheme="majorBidi" w:cstheme="majorBidi"/>
          <w:sz w:val="20"/>
          <w:szCs w:val="20"/>
        </w:rPr>
        <w:t xml:space="preserve">  </w:t>
      </w:r>
    </w:p>
    <w:p w14:paraId="14C1FFAC" w14:textId="3CF9A5F6" w:rsidR="00181B8C" w:rsidRPr="00181B8C" w:rsidRDefault="00181B8C" w:rsidP="00181B8C">
      <w:pPr>
        <w:widowControl w:val="0"/>
        <w:spacing w:after="0" w:line="240" w:lineRule="auto"/>
        <w:jc w:val="both"/>
        <w:rPr>
          <w:rFonts w:asciiTheme="majorBidi" w:eastAsia="Calibri" w:hAnsiTheme="majorBidi" w:cstheme="majorBidi"/>
          <w:b/>
          <w:bCs/>
          <w:sz w:val="24"/>
          <w:szCs w:val="24"/>
          <w:rtl/>
        </w:rPr>
      </w:pPr>
      <w:r w:rsidRPr="00181B8C">
        <w:rPr>
          <w:rFonts w:asciiTheme="majorBidi" w:eastAsia="Calibri" w:hAnsiTheme="majorBidi" w:cstheme="majorBidi"/>
          <w:b/>
          <w:bCs/>
          <w:sz w:val="24"/>
          <w:szCs w:val="24"/>
          <w:rtl/>
        </w:rPr>
        <w:t xml:space="preserve">المؤلف المراسل: </w:t>
      </w:r>
      <w:r w:rsidR="00FF698B">
        <w:rPr>
          <w:rFonts w:asciiTheme="majorBidi" w:eastAsia="Calibri" w:hAnsiTheme="majorBidi" w:cstheme="majorBidi" w:hint="cs"/>
          <w:b/>
          <w:bCs/>
          <w:sz w:val="24"/>
          <w:szCs w:val="24"/>
          <w:rtl/>
        </w:rPr>
        <w:t xml:space="preserve">محمد علي نعيم </w:t>
      </w:r>
      <w:r w:rsidRPr="00181B8C">
        <w:rPr>
          <w:rFonts w:asciiTheme="majorBidi" w:eastAsia="Calibri" w:hAnsiTheme="majorBidi" w:cstheme="majorBidi"/>
          <w:b/>
          <w:bCs/>
          <w:sz w:val="24"/>
          <w:szCs w:val="24"/>
          <w:rtl/>
        </w:rPr>
        <w:t xml:space="preserve"> </w:t>
      </w:r>
    </w:p>
    <w:p w14:paraId="717A27BF" w14:textId="0DA4837F" w:rsidR="00181B8C" w:rsidRPr="00181B8C" w:rsidRDefault="00181B8C" w:rsidP="00FF698B">
      <w:pPr>
        <w:widowControl w:val="0"/>
        <w:spacing w:after="0" w:line="240" w:lineRule="auto"/>
        <w:jc w:val="both"/>
        <w:rPr>
          <w:rFonts w:asciiTheme="majorBidi" w:eastAsia="Calibri" w:hAnsiTheme="majorBidi" w:cstheme="majorBidi"/>
          <w:b/>
          <w:bCs/>
          <w:sz w:val="24"/>
          <w:szCs w:val="24"/>
          <w:rtl/>
        </w:rPr>
      </w:pPr>
      <w:r w:rsidRPr="00181B8C">
        <w:rPr>
          <w:rFonts w:asciiTheme="majorBidi" w:eastAsia="Calibri" w:hAnsiTheme="majorBidi" w:cstheme="majorBidi"/>
          <w:b/>
          <w:bCs/>
          <w:sz w:val="24"/>
          <w:szCs w:val="24"/>
          <w:rtl/>
        </w:rPr>
        <w:t xml:space="preserve">البريد الالكتروني: </w:t>
      </w:r>
      <w:r w:rsidR="00FF698B" w:rsidRPr="00FF698B">
        <w:rPr>
          <w:rFonts w:asciiTheme="majorBidi" w:eastAsia="Calibri" w:hAnsiTheme="majorBidi" w:cstheme="majorBidi"/>
          <w:b/>
          <w:bCs/>
          <w:sz w:val="24"/>
          <w:szCs w:val="24"/>
        </w:rPr>
        <w:t xml:space="preserve">Roka.sose2012@gmail.com </w:t>
      </w:r>
      <w:hyperlink r:id="rId10" w:history="1"/>
    </w:p>
    <w:p w14:paraId="7653C86A" w14:textId="0CC39505" w:rsidR="00181B8C" w:rsidRPr="00181B8C" w:rsidRDefault="00181B8C" w:rsidP="00FF698B">
      <w:pPr>
        <w:spacing w:after="0" w:line="240" w:lineRule="auto"/>
        <w:jc w:val="both"/>
        <w:rPr>
          <w:rFonts w:asciiTheme="majorBidi" w:hAnsiTheme="majorBidi" w:cstheme="majorBidi"/>
          <w:b/>
          <w:bCs/>
          <w:sz w:val="16"/>
          <w:szCs w:val="16"/>
          <w:rtl/>
        </w:rPr>
      </w:pPr>
      <w:r w:rsidRPr="00181B8C">
        <w:rPr>
          <w:rFonts w:asciiTheme="majorBidi" w:hAnsiTheme="majorBidi" w:cstheme="majorBidi"/>
          <w:sz w:val="20"/>
          <w:szCs w:val="20"/>
          <w:rtl/>
          <w:lang w:bidi="ar-EG"/>
        </w:rPr>
        <w:t xml:space="preserve">المعرف الرقمي للمقالة: </w:t>
      </w:r>
      <w:r w:rsidR="00FF698B" w:rsidRPr="00FF698B">
        <w:rPr>
          <w:rFonts w:asciiTheme="majorBidi" w:hAnsiTheme="majorBidi" w:cstheme="majorBidi"/>
          <w:sz w:val="20"/>
          <w:szCs w:val="20"/>
          <w:lang w:bidi="ar-EG"/>
        </w:rPr>
        <w:t>10.21608/ijma.2019.12655.1004</w:t>
      </w:r>
    </w:p>
    <w:p w14:paraId="073C786E" w14:textId="29E49E94" w:rsidR="00181B8C" w:rsidRPr="00181B8C" w:rsidRDefault="00181B8C" w:rsidP="00181B8C">
      <w:pPr>
        <w:spacing w:after="0" w:line="240" w:lineRule="auto"/>
        <w:jc w:val="both"/>
        <w:rPr>
          <w:rFonts w:asciiTheme="majorBidi" w:hAnsiTheme="majorBidi" w:cstheme="majorBidi"/>
          <w:sz w:val="18"/>
          <w:szCs w:val="18"/>
        </w:rPr>
      </w:pPr>
      <w:r w:rsidRPr="00181B8C">
        <w:rPr>
          <w:rFonts w:asciiTheme="majorBidi" w:hAnsiTheme="majorBidi" w:cstheme="majorBidi"/>
          <w:sz w:val="18"/>
          <w:szCs w:val="18"/>
          <w:rtl/>
        </w:rPr>
        <w:t xml:space="preserve">تاريخ الاستلام: </w:t>
      </w:r>
      <w:r w:rsidR="00FF698B">
        <w:rPr>
          <w:rFonts w:asciiTheme="majorBidi" w:hAnsiTheme="majorBidi" w:cstheme="majorBidi" w:hint="cs"/>
          <w:sz w:val="18"/>
          <w:szCs w:val="18"/>
          <w:rtl/>
        </w:rPr>
        <w:t>9</w:t>
      </w:r>
      <w:r w:rsidRPr="00181B8C">
        <w:rPr>
          <w:rFonts w:asciiTheme="majorBidi" w:hAnsiTheme="majorBidi" w:cstheme="majorBidi"/>
          <w:sz w:val="18"/>
          <w:szCs w:val="18"/>
          <w:rtl/>
        </w:rPr>
        <w:t xml:space="preserve">- 5- 2019، تاريخ المراجعة: </w:t>
      </w:r>
      <w:r w:rsidR="00FF698B">
        <w:rPr>
          <w:rFonts w:asciiTheme="majorBidi" w:hAnsiTheme="majorBidi" w:cstheme="majorBidi" w:hint="cs"/>
          <w:sz w:val="18"/>
          <w:szCs w:val="18"/>
          <w:rtl/>
        </w:rPr>
        <w:t>13</w:t>
      </w:r>
      <w:r w:rsidRPr="00181B8C">
        <w:rPr>
          <w:rFonts w:asciiTheme="majorBidi" w:hAnsiTheme="majorBidi" w:cstheme="majorBidi"/>
          <w:sz w:val="18"/>
          <w:szCs w:val="18"/>
          <w:rtl/>
        </w:rPr>
        <w:t xml:space="preserve">- 9 – 2019، تاريخ القبول للنشر 29- </w:t>
      </w:r>
      <w:r w:rsidR="00FF698B">
        <w:rPr>
          <w:rFonts w:asciiTheme="majorBidi" w:hAnsiTheme="majorBidi" w:cstheme="majorBidi" w:hint="cs"/>
          <w:sz w:val="18"/>
          <w:szCs w:val="18"/>
          <w:rtl/>
        </w:rPr>
        <w:t>10</w:t>
      </w:r>
      <w:r w:rsidRPr="00181B8C">
        <w:rPr>
          <w:rFonts w:asciiTheme="majorBidi" w:hAnsiTheme="majorBidi" w:cstheme="majorBidi"/>
          <w:sz w:val="18"/>
          <w:szCs w:val="18"/>
          <w:rtl/>
        </w:rPr>
        <w:t xml:space="preserve">- 2019، تاريخ </w:t>
      </w:r>
      <w:r w:rsidR="00A919EF">
        <w:rPr>
          <w:rFonts w:asciiTheme="majorBidi" w:hAnsiTheme="majorBidi" w:cstheme="majorBidi" w:hint="cs"/>
          <w:sz w:val="18"/>
          <w:szCs w:val="18"/>
          <w:rtl/>
        </w:rPr>
        <w:t>النشر</w:t>
      </w:r>
      <w:r w:rsidRPr="00181B8C">
        <w:rPr>
          <w:rFonts w:asciiTheme="majorBidi" w:hAnsiTheme="majorBidi" w:cstheme="majorBidi"/>
          <w:sz w:val="18"/>
          <w:szCs w:val="18"/>
          <w:rtl/>
        </w:rPr>
        <w:t xml:space="preserve"> علي الموقع الالكتروني: 29- </w:t>
      </w:r>
      <w:r w:rsidR="00FF698B">
        <w:rPr>
          <w:rFonts w:asciiTheme="majorBidi" w:hAnsiTheme="majorBidi" w:cstheme="majorBidi" w:hint="cs"/>
          <w:sz w:val="18"/>
          <w:szCs w:val="18"/>
          <w:rtl/>
        </w:rPr>
        <w:t>10</w:t>
      </w:r>
      <w:r w:rsidRPr="00181B8C">
        <w:rPr>
          <w:rFonts w:asciiTheme="majorBidi" w:hAnsiTheme="majorBidi" w:cstheme="majorBidi"/>
          <w:sz w:val="18"/>
          <w:szCs w:val="18"/>
          <w:rtl/>
        </w:rPr>
        <w:t xml:space="preserve"> - 2019</w:t>
      </w:r>
    </w:p>
    <w:p w14:paraId="72518533" w14:textId="77777777" w:rsidR="00345FBB" w:rsidRPr="00181B8C" w:rsidRDefault="00345FBB" w:rsidP="00181B8C">
      <w:pPr>
        <w:widowControl w:val="0"/>
        <w:spacing w:after="0" w:line="240" w:lineRule="auto"/>
        <w:jc w:val="both"/>
        <w:rPr>
          <w:rFonts w:asciiTheme="majorBidi" w:eastAsia="Calibri" w:hAnsiTheme="majorBidi" w:cstheme="majorBidi"/>
          <w:sz w:val="20"/>
          <w:szCs w:val="20"/>
        </w:rPr>
      </w:pPr>
    </w:p>
    <w:p w14:paraId="7C60E67D" w14:textId="77777777" w:rsidR="00345FBB" w:rsidRPr="00181B8C" w:rsidRDefault="00345FBB" w:rsidP="00345FBB">
      <w:pPr>
        <w:widowControl w:val="0"/>
        <w:bidi w:val="0"/>
        <w:spacing w:after="0" w:line="240" w:lineRule="auto"/>
        <w:jc w:val="both"/>
        <w:rPr>
          <w:rFonts w:asciiTheme="majorBidi" w:eastAsia="Calibri" w:hAnsiTheme="majorBidi" w:cstheme="majorBidi"/>
          <w:sz w:val="8"/>
          <w:szCs w:val="8"/>
        </w:rPr>
      </w:pPr>
    </w:p>
    <w:p w14:paraId="7901EA53" w14:textId="77777777" w:rsidR="00345FBB" w:rsidRPr="00181B8C" w:rsidRDefault="00345FBB" w:rsidP="00345FBB">
      <w:pPr>
        <w:widowControl w:val="0"/>
        <w:bidi w:val="0"/>
        <w:spacing w:after="0" w:line="240" w:lineRule="auto"/>
        <w:jc w:val="both"/>
        <w:rPr>
          <w:rFonts w:asciiTheme="majorBidi" w:eastAsia="Calibri" w:hAnsiTheme="majorBidi" w:cstheme="majorBidi"/>
          <w:color w:val="2E74B5"/>
          <w:sz w:val="12"/>
          <w:szCs w:val="12"/>
        </w:rPr>
      </w:pPr>
    </w:p>
    <w:p w14:paraId="3CFB7637" w14:textId="77777777" w:rsidR="00345FBB" w:rsidRPr="00181B8C" w:rsidRDefault="00345FBB" w:rsidP="00345FBB">
      <w:pPr>
        <w:widowControl w:val="0"/>
        <w:bidi w:val="0"/>
        <w:spacing w:after="0" w:line="240" w:lineRule="auto"/>
        <w:jc w:val="both"/>
        <w:rPr>
          <w:rFonts w:asciiTheme="majorBidi" w:eastAsia="Calibri" w:hAnsiTheme="majorBidi" w:cstheme="majorBidi"/>
          <w:color w:val="2E74B5"/>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345FBB" w:rsidRPr="00181B8C" w14:paraId="300F5FD9" w14:textId="77777777" w:rsidTr="00AC61C9">
        <w:tc>
          <w:tcPr>
            <w:tcW w:w="5000" w:type="pct"/>
            <w:tcBorders>
              <w:top w:val="single" w:sz="24" w:space="0" w:color="385623"/>
              <w:left w:val="nil"/>
              <w:bottom w:val="single" w:sz="24" w:space="0" w:color="385623"/>
              <w:right w:val="nil"/>
            </w:tcBorders>
            <w:shd w:val="clear" w:color="auto" w:fill="auto"/>
          </w:tcPr>
          <w:p w14:paraId="21C96424" w14:textId="534048DE" w:rsidR="00FF698B" w:rsidRDefault="00FF698B" w:rsidP="00BA6FA4">
            <w:pPr>
              <w:widowControl w:val="0"/>
              <w:spacing w:after="0" w:line="240" w:lineRule="auto"/>
              <w:ind w:left="885" w:hanging="885"/>
              <w:jc w:val="center"/>
              <w:rPr>
                <w:rFonts w:asciiTheme="majorBidi" w:eastAsia="Calibri" w:hAnsiTheme="majorBidi" w:cstheme="majorBidi"/>
                <w:b/>
                <w:bCs/>
                <w:sz w:val="24"/>
                <w:szCs w:val="24"/>
                <w:rtl/>
              </w:rPr>
            </w:pPr>
            <w:r>
              <w:rPr>
                <w:rFonts w:asciiTheme="majorBidi" w:eastAsia="Calibri" w:hAnsiTheme="majorBidi" w:cstheme="majorBidi" w:hint="cs"/>
                <w:b/>
                <w:bCs/>
                <w:sz w:val="24"/>
                <w:szCs w:val="24"/>
                <w:rtl/>
              </w:rPr>
              <w:t>الملخص باللغة العربية</w:t>
            </w:r>
          </w:p>
          <w:p w14:paraId="62A0B174" w14:textId="32667703" w:rsidR="00FF698B" w:rsidRDefault="009250F7" w:rsidP="00FF698B">
            <w:pPr>
              <w:widowControl w:val="0"/>
              <w:spacing w:after="0" w:line="240" w:lineRule="auto"/>
              <w:ind w:left="885" w:hanging="885"/>
              <w:jc w:val="both"/>
              <w:rPr>
                <w:rFonts w:asciiTheme="majorBidi" w:eastAsia="Calibri" w:hAnsiTheme="majorBidi" w:cstheme="majorBidi"/>
                <w:sz w:val="24"/>
                <w:szCs w:val="24"/>
                <w:rtl/>
              </w:rPr>
            </w:pPr>
            <w:r>
              <w:rPr>
                <w:rFonts w:asciiTheme="majorBidi" w:eastAsia="Calibri" w:hAnsiTheme="majorBidi" w:cstheme="majorBidi" w:hint="cs"/>
                <w:b/>
                <w:bCs/>
                <w:sz w:val="24"/>
                <w:szCs w:val="24"/>
                <w:rtl/>
              </w:rPr>
              <w:t xml:space="preserve">المقدمة: </w:t>
            </w:r>
            <w:r>
              <w:rPr>
                <w:rFonts w:asciiTheme="majorBidi" w:eastAsia="Calibri" w:hAnsiTheme="majorBidi" w:cstheme="majorBidi" w:hint="cs"/>
                <w:sz w:val="24"/>
                <w:szCs w:val="24"/>
                <w:rtl/>
              </w:rPr>
              <w:t xml:space="preserve">اليرقان (فرط صفراء الدم) واحد من أكثر الحالات شيوعا لدي حديثي الولادة. ويعد العلاج الضوئي علاجا آمنا لعلاج فرط صفراء الدم، ولكن ربما يؤدي إلي آثار غير مرغوب بها، فعلي سبيل المثال يمكن أن يؤثر العلاج الضوئي علي وظائف الجهاز المناعي لحديث الولادة.      </w:t>
            </w:r>
          </w:p>
          <w:p w14:paraId="7A89485E" w14:textId="2C5352F4" w:rsidR="009250F7" w:rsidRDefault="009250F7" w:rsidP="00FF698B">
            <w:pPr>
              <w:widowControl w:val="0"/>
              <w:spacing w:after="0" w:line="240" w:lineRule="auto"/>
              <w:ind w:left="885" w:hanging="885"/>
              <w:jc w:val="both"/>
              <w:rPr>
                <w:rFonts w:asciiTheme="majorBidi" w:eastAsia="Calibri" w:hAnsiTheme="majorBidi" w:cstheme="majorBidi"/>
                <w:sz w:val="24"/>
                <w:szCs w:val="24"/>
                <w:rtl/>
              </w:rPr>
            </w:pPr>
            <w:r>
              <w:rPr>
                <w:rFonts w:asciiTheme="majorBidi" w:eastAsia="Calibri" w:hAnsiTheme="majorBidi" w:cstheme="majorBidi" w:hint="cs"/>
                <w:b/>
                <w:bCs/>
                <w:sz w:val="24"/>
                <w:szCs w:val="24"/>
                <w:rtl/>
              </w:rPr>
              <w:t>الهدف من الدراسة:</w:t>
            </w:r>
            <w:r>
              <w:rPr>
                <w:rFonts w:asciiTheme="majorBidi" w:eastAsia="Calibri" w:hAnsiTheme="majorBidi" w:cstheme="majorBidi" w:hint="cs"/>
                <w:sz w:val="24"/>
                <w:szCs w:val="24"/>
                <w:rtl/>
              </w:rPr>
              <w:t xml:space="preserve"> دراسة تأثير العلاج الضوئي علي مستوي عامل نخر الدم- ألفا بالمصل لدي حديث الولادة. </w:t>
            </w:r>
          </w:p>
          <w:p w14:paraId="611F4847" w14:textId="77777777" w:rsidR="00507E7C" w:rsidRDefault="009250F7" w:rsidP="00FF698B">
            <w:pPr>
              <w:widowControl w:val="0"/>
              <w:spacing w:after="0" w:line="240" w:lineRule="auto"/>
              <w:ind w:left="885" w:hanging="885"/>
              <w:jc w:val="both"/>
              <w:rPr>
                <w:rFonts w:asciiTheme="majorBidi" w:eastAsia="Calibri" w:hAnsiTheme="majorBidi" w:cstheme="majorBidi"/>
                <w:sz w:val="24"/>
                <w:szCs w:val="24"/>
                <w:rtl/>
              </w:rPr>
            </w:pPr>
            <w:r>
              <w:rPr>
                <w:rFonts w:asciiTheme="majorBidi" w:eastAsia="Calibri" w:hAnsiTheme="majorBidi" w:cstheme="majorBidi" w:hint="cs"/>
                <w:b/>
                <w:bCs/>
                <w:sz w:val="24"/>
                <w:szCs w:val="24"/>
                <w:rtl/>
              </w:rPr>
              <w:t>المرضي وطرق البحث:</w:t>
            </w:r>
            <w:r>
              <w:rPr>
                <w:rFonts w:asciiTheme="majorBidi" w:eastAsia="Calibri" w:hAnsiTheme="majorBidi" w:cstheme="majorBidi" w:hint="cs"/>
                <w:sz w:val="24"/>
                <w:szCs w:val="24"/>
                <w:rtl/>
              </w:rPr>
              <w:t xml:space="preserve"> </w:t>
            </w:r>
            <w:r w:rsidRPr="009250F7">
              <w:rPr>
                <w:rFonts w:asciiTheme="majorBidi" w:eastAsia="Calibri" w:hAnsiTheme="majorBidi" w:cstheme="majorBidi" w:hint="cs"/>
                <w:sz w:val="24"/>
                <w:szCs w:val="24"/>
                <w:rtl/>
              </w:rPr>
              <w:t>اشتمل</w:t>
            </w:r>
            <w:r>
              <w:rPr>
                <w:rFonts w:asciiTheme="majorBidi" w:eastAsia="Calibri" w:hAnsiTheme="majorBidi" w:cstheme="majorBidi" w:hint="cs"/>
                <w:sz w:val="24"/>
                <w:szCs w:val="24"/>
                <w:rtl/>
              </w:rPr>
              <w:t>ت الدراسة علي 50 وليدا مكتملي النمو ولديهم يرقان وليدي، وفرط في صفراء الدم غير المباشرة، مما استدعي العلاج الضوئي لمدة 72ساعة أو أكثر طبقا للقواعد الإرشادية للأكاديمية الأمريكية لطب الأطفال.</w:t>
            </w:r>
            <w:r w:rsidR="00507E7C">
              <w:rPr>
                <w:rFonts w:asciiTheme="majorBidi" w:eastAsia="Calibri" w:hAnsiTheme="majorBidi" w:cstheme="majorBidi" w:hint="cs"/>
                <w:sz w:val="24"/>
                <w:szCs w:val="24"/>
                <w:rtl/>
              </w:rPr>
              <w:t xml:space="preserve"> وكذلك اشتملت الدراسة علي 15 وليدا من الأصحاء كمجموعة ضابطة. وقد تم قياس عامل نخر الدم-ألفا قبل العلاج الضوئي، وبعد 72 ساعة من العلاج لدي مجموعة الدراسة، وتم قياسه لمرة واحدة عند فحص الأصحاء.</w:t>
            </w:r>
          </w:p>
          <w:p w14:paraId="13A22EB7" w14:textId="58543DBC" w:rsidR="009250F7" w:rsidRDefault="00507E7C" w:rsidP="00FF698B">
            <w:pPr>
              <w:widowControl w:val="0"/>
              <w:spacing w:after="0" w:line="240" w:lineRule="auto"/>
              <w:ind w:left="885" w:hanging="885"/>
              <w:jc w:val="both"/>
              <w:rPr>
                <w:rFonts w:asciiTheme="majorBidi" w:eastAsia="Calibri" w:hAnsiTheme="majorBidi" w:cstheme="majorBidi"/>
                <w:sz w:val="24"/>
                <w:szCs w:val="24"/>
                <w:rtl/>
              </w:rPr>
            </w:pPr>
            <w:r>
              <w:rPr>
                <w:rFonts w:asciiTheme="majorBidi" w:eastAsia="Calibri" w:hAnsiTheme="majorBidi" w:cstheme="majorBidi" w:hint="cs"/>
                <w:b/>
                <w:bCs/>
                <w:sz w:val="24"/>
                <w:szCs w:val="24"/>
                <w:rtl/>
              </w:rPr>
              <w:t>النتائج:</w:t>
            </w:r>
            <w:r>
              <w:rPr>
                <w:rFonts w:asciiTheme="majorBidi" w:eastAsia="Calibri" w:hAnsiTheme="majorBidi" w:cstheme="majorBidi" w:hint="cs"/>
                <w:sz w:val="24"/>
                <w:szCs w:val="24"/>
                <w:rtl/>
              </w:rPr>
              <w:t xml:space="preserve"> وأسفرت نتائج الدراسة عن عدم وجود فروق ذات دلالة إحصائية بين مجموعة الدراسة والمجموعة الضابطة قبل بدء العلاج الضوئي، بالنسبة لمعامل نخر الدم - ألفا </w:t>
            </w:r>
            <w:r>
              <w:rPr>
                <w:rFonts w:asciiTheme="majorBidi" w:eastAsia="Calibri" w:hAnsiTheme="majorBidi" w:cstheme="majorBidi"/>
                <w:sz w:val="24"/>
                <w:szCs w:val="24"/>
                <w:rtl/>
              </w:rPr>
              <w:t>–</w:t>
            </w:r>
            <w:r>
              <w:rPr>
                <w:rFonts w:asciiTheme="majorBidi" w:eastAsia="Calibri" w:hAnsiTheme="majorBidi" w:cstheme="majorBidi" w:hint="cs"/>
                <w:sz w:val="24"/>
                <w:szCs w:val="24"/>
                <w:rtl/>
              </w:rPr>
              <w:t xml:space="preserve"> الخصائص الديموجرافية، ونتائج الاختبارات المعملية. </w:t>
            </w:r>
            <w:r w:rsidR="009250F7">
              <w:rPr>
                <w:rFonts w:asciiTheme="majorBidi" w:eastAsia="Calibri" w:hAnsiTheme="majorBidi" w:cstheme="majorBidi" w:hint="cs"/>
                <w:sz w:val="24"/>
                <w:szCs w:val="24"/>
                <w:rtl/>
              </w:rPr>
              <w:t xml:space="preserve"> </w:t>
            </w:r>
            <w:r>
              <w:rPr>
                <w:rFonts w:asciiTheme="majorBidi" w:eastAsia="Calibri" w:hAnsiTheme="majorBidi" w:cstheme="majorBidi" w:hint="cs"/>
                <w:sz w:val="24"/>
                <w:szCs w:val="24"/>
                <w:rtl/>
              </w:rPr>
              <w:t xml:space="preserve"> وعلي الجانب الآخر، فقد وجدت زيادة ذات دلالة إحصائية في مستويات</w:t>
            </w:r>
            <w:r w:rsidR="00E77BE8">
              <w:rPr>
                <w:rFonts w:asciiTheme="majorBidi" w:eastAsia="Calibri" w:hAnsiTheme="majorBidi" w:cstheme="majorBidi" w:hint="cs"/>
                <w:sz w:val="24"/>
                <w:szCs w:val="24"/>
                <w:rtl/>
              </w:rPr>
              <w:t xml:space="preserve"> عامل نخر الدم- ألفا في مجموعة الدراسة بعد العلاج الضوئي مقارنة بالمستويات قبل العلاج (151.49 ± 61.97 مقابل 61.36</w:t>
            </w:r>
            <w:r w:rsidR="009250F7" w:rsidRPr="00E77BE8">
              <w:rPr>
                <w:rFonts w:asciiTheme="majorBidi" w:eastAsia="Calibri" w:hAnsiTheme="majorBidi" w:cstheme="majorBidi" w:hint="cs"/>
                <w:sz w:val="24"/>
                <w:szCs w:val="24"/>
                <w:rtl/>
              </w:rPr>
              <w:t xml:space="preserve"> </w:t>
            </w:r>
            <w:r w:rsidR="00E77BE8" w:rsidRPr="00E77BE8">
              <w:rPr>
                <w:rFonts w:asciiTheme="majorBidi" w:eastAsia="Calibri" w:hAnsiTheme="majorBidi" w:cstheme="majorBidi" w:hint="eastAsia"/>
                <w:sz w:val="24"/>
                <w:szCs w:val="24"/>
                <w:rtl/>
              </w:rPr>
              <w:t>±</w:t>
            </w:r>
            <w:r w:rsidR="00E77BE8" w:rsidRPr="00E77BE8">
              <w:rPr>
                <w:rFonts w:asciiTheme="majorBidi" w:eastAsia="Calibri" w:hAnsiTheme="majorBidi" w:cstheme="majorBidi" w:hint="cs"/>
                <w:sz w:val="24"/>
                <w:szCs w:val="24"/>
                <w:rtl/>
              </w:rPr>
              <w:t xml:space="preserve"> 31.96 علي الترتيب</w:t>
            </w:r>
            <w:r w:rsidR="00E77BE8">
              <w:rPr>
                <w:rFonts w:asciiTheme="majorBidi" w:eastAsia="Calibri" w:hAnsiTheme="majorBidi" w:cstheme="majorBidi" w:hint="cs"/>
                <w:sz w:val="24"/>
                <w:szCs w:val="24"/>
                <w:rtl/>
              </w:rPr>
              <w:t xml:space="preserve">)، مما يشير إلي تأثير العلاج الضوئي علي مستويات عامل نخر الدم- ألفا.  </w:t>
            </w:r>
          </w:p>
          <w:p w14:paraId="5A1D45E6" w14:textId="74689D5A" w:rsidR="00345FBB" w:rsidRPr="00181B8C" w:rsidRDefault="00E77BE8" w:rsidP="00E77BE8">
            <w:pPr>
              <w:widowControl w:val="0"/>
              <w:spacing w:after="0" w:line="240" w:lineRule="auto"/>
              <w:ind w:left="885" w:hanging="885"/>
              <w:jc w:val="both"/>
              <w:rPr>
                <w:rFonts w:asciiTheme="majorBidi" w:eastAsia="Calibri" w:hAnsiTheme="majorBidi" w:cstheme="majorBidi"/>
                <w:sz w:val="24"/>
                <w:szCs w:val="24"/>
              </w:rPr>
            </w:pPr>
            <w:r>
              <w:rPr>
                <w:rFonts w:asciiTheme="majorBidi" w:eastAsia="Calibri" w:hAnsiTheme="majorBidi" w:cstheme="majorBidi" w:hint="cs"/>
                <w:b/>
                <w:bCs/>
                <w:sz w:val="24"/>
                <w:szCs w:val="24"/>
                <w:rtl/>
              </w:rPr>
              <w:t xml:space="preserve">الخلاصة: </w:t>
            </w:r>
            <w:r>
              <w:rPr>
                <w:rFonts w:asciiTheme="majorBidi" w:eastAsia="Calibri" w:hAnsiTheme="majorBidi" w:cstheme="majorBidi" w:hint="cs"/>
                <w:sz w:val="24"/>
                <w:szCs w:val="24"/>
                <w:rtl/>
              </w:rPr>
              <w:t xml:space="preserve">تشير النتائج إلي زيادة مؤشر نخر الدم- ألفا، بعد 72 ساعة من العلاج الضوئي، وهو ما يؤثر علي الجهاز المناعي لحديثي الولادة. </w:t>
            </w:r>
          </w:p>
        </w:tc>
      </w:tr>
    </w:tbl>
    <w:p w14:paraId="58DCD2C2" w14:textId="77777777" w:rsidR="00345FBB" w:rsidRPr="00181B8C" w:rsidRDefault="00345FBB" w:rsidP="00345FBB">
      <w:pPr>
        <w:widowControl w:val="0"/>
        <w:bidi w:val="0"/>
        <w:spacing w:after="0" w:line="240" w:lineRule="auto"/>
        <w:ind w:left="597" w:hanging="597"/>
        <w:jc w:val="both"/>
        <w:rPr>
          <w:rFonts w:asciiTheme="majorBidi" w:eastAsia="Calibri" w:hAnsiTheme="majorBidi" w:cstheme="majorBidi"/>
          <w:b/>
          <w:bCs/>
          <w:sz w:val="10"/>
          <w:szCs w:val="10"/>
        </w:rPr>
      </w:pPr>
    </w:p>
    <w:p w14:paraId="287B1B11" w14:textId="2B20049F" w:rsidR="00834B1D" w:rsidRPr="00181B8C" w:rsidRDefault="00834B1D" w:rsidP="00834B1D">
      <w:pPr>
        <w:widowControl w:val="0"/>
        <w:spacing w:after="0" w:line="240" w:lineRule="auto"/>
        <w:ind w:left="597" w:hanging="597"/>
        <w:jc w:val="both"/>
        <w:rPr>
          <w:rFonts w:asciiTheme="majorBidi" w:eastAsia="Calibri" w:hAnsiTheme="majorBidi" w:cstheme="majorBidi"/>
          <w:b/>
          <w:bCs/>
          <w:sz w:val="24"/>
          <w:szCs w:val="24"/>
          <w:rtl/>
          <w:lang w:bidi="ar-EG"/>
        </w:rPr>
      </w:pPr>
      <w:r w:rsidRPr="00181B8C">
        <w:rPr>
          <w:rFonts w:asciiTheme="majorBidi" w:eastAsia="Calibri" w:hAnsiTheme="majorBidi" w:cstheme="majorBidi"/>
          <w:b/>
          <w:bCs/>
          <w:sz w:val="24"/>
          <w:szCs w:val="24"/>
          <w:rtl/>
        </w:rPr>
        <w:t xml:space="preserve">الكلمات المفتاحية: </w:t>
      </w:r>
      <w:r w:rsidR="00E77BE8" w:rsidRPr="00E77BE8">
        <w:rPr>
          <w:rFonts w:asciiTheme="majorBidi" w:eastAsia="Calibri" w:hAnsiTheme="majorBidi" w:cstheme="majorBidi" w:hint="cs"/>
          <w:sz w:val="24"/>
          <w:szCs w:val="24"/>
          <w:rtl/>
        </w:rPr>
        <w:t>العلاج الضوئي، اليرقان (فرط الصفراء)، الجهاز المناعي، السيتوكينات، حديث الولادة.</w:t>
      </w:r>
      <w:r w:rsidR="00E77BE8">
        <w:rPr>
          <w:rFonts w:asciiTheme="majorBidi" w:eastAsia="Calibri" w:hAnsiTheme="majorBidi" w:cstheme="majorBidi" w:hint="cs"/>
          <w:b/>
          <w:bCs/>
          <w:sz w:val="24"/>
          <w:szCs w:val="24"/>
          <w:rtl/>
        </w:rPr>
        <w:t xml:space="preserve"> </w:t>
      </w:r>
    </w:p>
    <w:p w14:paraId="15CA1300" w14:textId="77777777" w:rsidR="00834B1D" w:rsidRPr="00181B8C" w:rsidRDefault="00834B1D" w:rsidP="00834B1D">
      <w:pPr>
        <w:widowControl w:val="0"/>
        <w:spacing w:after="0" w:line="240" w:lineRule="auto"/>
        <w:ind w:left="597" w:hanging="597"/>
        <w:jc w:val="both"/>
        <w:rPr>
          <w:rFonts w:asciiTheme="majorBidi" w:eastAsia="Calibri" w:hAnsiTheme="majorBidi" w:cstheme="majorBidi"/>
          <w:sz w:val="20"/>
          <w:szCs w:val="20"/>
          <w:lang w:bidi="ar-EG"/>
        </w:rPr>
      </w:pPr>
      <w:r w:rsidRPr="00181B8C">
        <w:rPr>
          <w:rFonts w:asciiTheme="majorBidi" w:eastAsia="Calibri" w:hAnsiTheme="majorBidi" w:cstheme="majorBidi"/>
          <w:sz w:val="20"/>
          <w:szCs w:val="20"/>
          <w:rtl/>
          <w:lang w:bidi="ar-EG"/>
        </w:rPr>
        <w:t>هذه مقالة مفتوحة المصدر تحت رخصة المشاع الإبداعي (</w:t>
      </w:r>
      <w:r w:rsidRPr="00181B8C">
        <w:rPr>
          <w:rFonts w:asciiTheme="majorBidi" w:eastAsia="Calibri" w:hAnsiTheme="majorBidi" w:cstheme="majorBidi"/>
          <w:sz w:val="20"/>
          <w:szCs w:val="20"/>
          <w:lang w:bidi="ar-EG"/>
        </w:rPr>
        <w:t>CC BY</w:t>
      </w:r>
      <w:r w:rsidRPr="00181B8C">
        <w:rPr>
          <w:rFonts w:asciiTheme="majorBidi" w:eastAsia="Calibri" w:hAnsiTheme="majorBidi" w:cstheme="majorBidi"/>
          <w:sz w:val="20"/>
          <w:szCs w:val="20"/>
          <w:rtl/>
          <w:lang w:bidi="ar-EG"/>
        </w:rPr>
        <w:t xml:space="preserve">) </w:t>
      </w:r>
      <w:r>
        <w:rPr>
          <w:rFonts w:asciiTheme="majorBidi" w:eastAsia="Calibri" w:hAnsiTheme="majorBidi" w:cstheme="majorBidi" w:hint="cs"/>
          <w:sz w:val="20"/>
          <w:szCs w:val="20"/>
          <w:rtl/>
          <w:lang w:bidi="ar-EG"/>
        </w:rPr>
        <w:t>الاصدار الثاني</w:t>
      </w:r>
      <w:r w:rsidRPr="00181B8C">
        <w:rPr>
          <w:rFonts w:asciiTheme="majorBidi" w:eastAsia="Calibri" w:hAnsiTheme="majorBidi" w:cstheme="majorBidi"/>
          <w:sz w:val="20"/>
          <w:szCs w:val="20"/>
          <w:rtl/>
          <w:lang w:bidi="ar-EG"/>
        </w:rPr>
        <w:t xml:space="preserve"> </w:t>
      </w:r>
      <w:r w:rsidRPr="00181B8C">
        <w:rPr>
          <w:rFonts w:asciiTheme="majorBidi" w:eastAsia="Calibri" w:hAnsiTheme="majorBidi" w:cstheme="majorBidi"/>
          <w:sz w:val="20"/>
          <w:szCs w:val="20"/>
          <w:lang w:bidi="ar-EG"/>
        </w:rPr>
        <w:t>[https://creativecommons.org/licenses/by/2.0/]</w:t>
      </w:r>
    </w:p>
    <w:p w14:paraId="0447A6D8" w14:textId="77777777" w:rsidR="00834B1D" w:rsidRPr="00181B8C" w:rsidRDefault="00834B1D" w:rsidP="003864A6">
      <w:pPr>
        <w:widowControl w:val="0"/>
        <w:spacing w:after="0" w:line="240" w:lineRule="auto"/>
        <w:ind w:left="597" w:hanging="597"/>
        <w:jc w:val="both"/>
        <w:rPr>
          <w:rFonts w:asciiTheme="majorBidi" w:eastAsia="Calibri" w:hAnsiTheme="majorBidi" w:cstheme="majorBidi"/>
          <w:sz w:val="20"/>
          <w:szCs w:val="20"/>
          <w:rtl/>
          <w:lang w:bidi="ar-EG"/>
        </w:rPr>
      </w:pPr>
      <w:r w:rsidRPr="00181B8C">
        <w:rPr>
          <w:rFonts w:asciiTheme="majorBidi" w:eastAsia="Calibri" w:hAnsiTheme="majorBidi" w:cstheme="majorBidi"/>
          <w:sz w:val="20"/>
          <w:szCs w:val="20"/>
          <w:rtl/>
          <w:lang w:bidi="ar-EG"/>
        </w:rPr>
        <w:t>يرجى الاستشهاد بهذه المقالة كالآتي:</w:t>
      </w:r>
      <w:bookmarkStart w:id="0" w:name="_GoBack"/>
      <w:bookmarkEnd w:id="0"/>
    </w:p>
    <w:sectPr w:rsidR="00834B1D" w:rsidRPr="00181B8C" w:rsidSect="003864A6">
      <w:headerReference w:type="even" r:id="rId11"/>
      <w:headerReference w:type="default" r:id="rId12"/>
      <w:footerReference w:type="even" r:id="rId13"/>
      <w:footerReference w:type="default" r:id="rId14"/>
      <w:footerReference w:type="first" r:id="rId15"/>
      <w:pgSz w:w="11907" w:h="16839" w:code="9"/>
      <w:pgMar w:top="1418" w:right="1134" w:bottom="1418" w:left="1418" w:header="709" w:footer="508"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AE5C03" w14:textId="77777777" w:rsidR="009542FA" w:rsidRDefault="009542FA" w:rsidP="00C131F6">
      <w:pPr>
        <w:spacing w:after="0" w:line="240" w:lineRule="auto"/>
      </w:pPr>
      <w:r>
        <w:separator/>
      </w:r>
    </w:p>
  </w:endnote>
  <w:endnote w:type="continuationSeparator" w:id="0">
    <w:p w14:paraId="24983A37" w14:textId="77777777" w:rsidR="009542FA" w:rsidRDefault="009542FA" w:rsidP="00C13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702676624"/>
      <w:docPartObj>
        <w:docPartGallery w:val="Page Numbers (Bottom of Page)"/>
        <w:docPartUnique/>
      </w:docPartObj>
    </w:sdtPr>
    <w:sdtEndPr>
      <w:rPr>
        <w:noProof/>
      </w:rPr>
    </w:sdtEndPr>
    <w:sdtContent>
      <w:p w14:paraId="310CBF21" w14:textId="77777777" w:rsidR="001E41F2" w:rsidRDefault="001E41F2">
        <w:pPr>
          <w:pStyle w:val="Footer"/>
          <w:jc w:val="center"/>
        </w:pPr>
        <w:r>
          <w:fldChar w:fldCharType="begin"/>
        </w:r>
        <w:r>
          <w:instrText xml:space="preserve"> PAGE   \* MERGEFORMAT </w:instrText>
        </w:r>
        <w:r>
          <w:fldChar w:fldCharType="separate"/>
        </w:r>
        <w:r>
          <w:rPr>
            <w:noProof/>
          </w:rPr>
          <w:t>210</w:t>
        </w:r>
        <w:r>
          <w:rPr>
            <w:noProof/>
          </w:rPr>
          <w:fldChar w:fldCharType="end"/>
        </w:r>
      </w:p>
    </w:sdtContent>
  </w:sdt>
  <w:p w14:paraId="510D1BCB" w14:textId="77777777" w:rsidR="001E41F2" w:rsidRDefault="001E41F2" w:rsidP="00187C6F">
    <w:pPr>
      <w:pStyle w:val="Footer"/>
      <w:tabs>
        <w:tab w:val="left" w:pos="5040"/>
      </w:tabs>
    </w:pP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1072160327"/>
      <w:docPartObj>
        <w:docPartGallery w:val="Page Numbers (Bottom of Page)"/>
        <w:docPartUnique/>
      </w:docPartObj>
    </w:sdtPr>
    <w:sdtEndPr>
      <w:rPr>
        <w:noProof/>
      </w:rPr>
    </w:sdtEndPr>
    <w:sdtContent>
      <w:p w14:paraId="5F0FC519" w14:textId="77777777" w:rsidR="001E41F2" w:rsidRDefault="001E41F2" w:rsidP="00187C6F">
        <w:pPr>
          <w:pStyle w:val="Footer"/>
          <w:jc w:val="center"/>
        </w:pPr>
        <w:r>
          <w:fldChar w:fldCharType="begin"/>
        </w:r>
        <w:r>
          <w:instrText xml:space="preserve"> PAGE   \* MERGEFORMAT </w:instrText>
        </w:r>
        <w:r>
          <w:fldChar w:fldCharType="separate"/>
        </w:r>
        <w:r>
          <w:rPr>
            <w:noProof/>
          </w:rPr>
          <w:t>209</w:t>
        </w:r>
        <w:r>
          <w:rPr>
            <w:noProof/>
          </w:rPr>
          <w:fldChar w:fldCharType="end"/>
        </w:r>
      </w:p>
    </w:sdtContent>
  </w:sdt>
  <w:p w14:paraId="7B09324F" w14:textId="77777777" w:rsidR="001E41F2" w:rsidRDefault="001E41F2" w:rsidP="00187C6F">
    <w:pPr>
      <w:tabs>
        <w:tab w:val="left" w:pos="6002"/>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C0713" w14:textId="0E04858C" w:rsidR="001E41F2" w:rsidRDefault="001E41F2">
    <w:pPr>
      <w:pStyle w:val="Footer"/>
      <w:jc w:val="center"/>
    </w:pPr>
  </w:p>
  <w:p w14:paraId="750843A8" w14:textId="77777777" w:rsidR="001E41F2" w:rsidRDefault="001E41F2" w:rsidP="00187C6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A8C132" w14:textId="77777777" w:rsidR="009542FA" w:rsidRDefault="009542FA" w:rsidP="00C131F6">
      <w:pPr>
        <w:spacing w:after="0" w:line="240" w:lineRule="auto"/>
      </w:pPr>
      <w:r>
        <w:separator/>
      </w:r>
    </w:p>
  </w:footnote>
  <w:footnote w:type="continuationSeparator" w:id="0">
    <w:p w14:paraId="0A74D96D" w14:textId="77777777" w:rsidR="009542FA" w:rsidRDefault="009542FA" w:rsidP="00C13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7609E" w14:textId="77777777" w:rsidR="001E41F2" w:rsidRPr="00EA3915" w:rsidRDefault="001E41F2" w:rsidP="00187C6F">
    <w:pPr>
      <w:pStyle w:val="Header"/>
      <w:pBdr>
        <w:bottom w:val="thickThinSmallGap" w:sz="24" w:space="0" w:color="538135"/>
      </w:pBdr>
      <w:shd w:val="clear" w:color="auto" w:fill="FFFFFF"/>
      <w:rPr>
        <w:rFonts w:ascii="Arial Narrow" w:hAnsi="Arial Narrow"/>
        <w:b/>
        <w:bCs/>
        <w:i/>
        <w:iCs/>
        <w:sz w:val="24"/>
        <w:szCs w:val="24"/>
      </w:rPr>
    </w:pPr>
    <w:proofErr w:type="spellStart"/>
    <w:r w:rsidRPr="000C7866">
      <w:rPr>
        <w:rFonts w:ascii="Arial Narrow" w:hAnsi="Arial Narrow"/>
        <w:b/>
        <w:bCs/>
        <w:sz w:val="24"/>
        <w:szCs w:val="24"/>
      </w:rPr>
      <w:t>Ataya</w:t>
    </w:r>
    <w:proofErr w:type="spellEnd"/>
    <w:r w:rsidRPr="000C7866">
      <w:rPr>
        <w:rFonts w:ascii="Arial Narrow" w:hAnsi="Arial Narrow"/>
        <w:b/>
        <w:bCs/>
        <w:sz w:val="24"/>
        <w:szCs w:val="24"/>
      </w:rPr>
      <w:t xml:space="preserve"> MA</w:t>
    </w:r>
    <w:r>
      <w:rPr>
        <w:rFonts w:ascii="Arial Narrow" w:hAnsi="Arial Narrow"/>
        <w:b/>
        <w:bCs/>
        <w:sz w:val="24"/>
        <w:szCs w:val="24"/>
      </w:rPr>
      <w:t>, et al</w:t>
    </w:r>
    <w:r w:rsidRPr="00EA3915">
      <w:rPr>
        <w:rFonts w:ascii="Arial Narrow" w:hAnsi="Arial Narrow"/>
        <w:b/>
        <w:bCs/>
        <w:i/>
        <w:i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DF800" w14:textId="77777777" w:rsidR="001E41F2" w:rsidRPr="007F295C" w:rsidRDefault="001E41F2" w:rsidP="00187C6F">
    <w:pPr>
      <w:pStyle w:val="Header"/>
      <w:pBdr>
        <w:top w:val="thinThickSmallGap" w:sz="24" w:space="1" w:color="538135"/>
        <w:left w:val="thinThickSmallGap" w:sz="24" w:space="4" w:color="538135"/>
        <w:bottom w:val="thickThinSmallGap" w:sz="24" w:space="1" w:color="538135"/>
        <w:right w:val="thickThinSmallGap" w:sz="24" w:space="4" w:color="538135"/>
      </w:pBdr>
      <w:shd w:val="clear" w:color="auto" w:fill="385623"/>
      <w:rPr>
        <w:rFonts w:ascii="Arial Narrow" w:hAnsi="Arial Narrow"/>
        <w:color w:val="FFFFFF"/>
        <w:sz w:val="38"/>
        <w:szCs w:val="38"/>
      </w:rPr>
    </w:pPr>
    <w:r w:rsidRPr="007F295C">
      <w:rPr>
        <w:rFonts w:ascii="Arial Narrow" w:hAnsi="Arial Narrow"/>
        <w:color w:val="FFFFFF"/>
        <w:sz w:val="38"/>
        <w:szCs w:val="38"/>
      </w:rPr>
      <w:t xml:space="preserve">Original Article </w:t>
    </w:r>
    <w:r w:rsidRPr="007F295C">
      <w:rPr>
        <w:rFonts w:ascii="Arial Narrow" w:hAnsi="Arial Narrow"/>
        <w:b/>
        <w:bCs/>
        <w:color w:val="FFFFFF"/>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353E6"/>
    <w:multiLevelType w:val="hybridMultilevel"/>
    <w:tmpl w:val="AFCE1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E00F4"/>
    <w:multiLevelType w:val="hybridMultilevel"/>
    <w:tmpl w:val="88441630"/>
    <w:lvl w:ilvl="0" w:tplc="973C616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96413"/>
    <w:multiLevelType w:val="hybridMultilevel"/>
    <w:tmpl w:val="C9880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B243DF"/>
    <w:multiLevelType w:val="hybridMultilevel"/>
    <w:tmpl w:val="D15EB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7C0"/>
    <w:rsid w:val="00001EA8"/>
    <w:rsid w:val="00007945"/>
    <w:rsid w:val="00014423"/>
    <w:rsid w:val="000218FD"/>
    <w:rsid w:val="0003110E"/>
    <w:rsid w:val="00031C9E"/>
    <w:rsid w:val="000562B8"/>
    <w:rsid w:val="000E7601"/>
    <w:rsid w:val="000F07B5"/>
    <w:rsid w:val="001001E2"/>
    <w:rsid w:val="00105F26"/>
    <w:rsid w:val="00106997"/>
    <w:rsid w:val="001417E3"/>
    <w:rsid w:val="00181B8C"/>
    <w:rsid w:val="001847B9"/>
    <w:rsid w:val="00187C6F"/>
    <w:rsid w:val="00196A1B"/>
    <w:rsid w:val="001A5625"/>
    <w:rsid w:val="001A57D6"/>
    <w:rsid w:val="001C09B4"/>
    <w:rsid w:val="001C5401"/>
    <w:rsid w:val="001D2019"/>
    <w:rsid w:val="001E205C"/>
    <w:rsid w:val="001E23BD"/>
    <w:rsid w:val="001E41F2"/>
    <w:rsid w:val="00211811"/>
    <w:rsid w:val="00215337"/>
    <w:rsid w:val="002317C4"/>
    <w:rsid w:val="00242FD9"/>
    <w:rsid w:val="002474EB"/>
    <w:rsid w:val="00247F87"/>
    <w:rsid w:val="002510A6"/>
    <w:rsid w:val="00261EDA"/>
    <w:rsid w:val="00281573"/>
    <w:rsid w:val="00284638"/>
    <w:rsid w:val="002C2560"/>
    <w:rsid w:val="002D3F83"/>
    <w:rsid w:val="002E0101"/>
    <w:rsid w:val="0031175A"/>
    <w:rsid w:val="00316A2A"/>
    <w:rsid w:val="00344EA4"/>
    <w:rsid w:val="00345FBB"/>
    <w:rsid w:val="0036042E"/>
    <w:rsid w:val="00364C48"/>
    <w:rsid w:val="00385651"/>
    <w:rsid w:val="003864A6"/>
    <w:rsid w:val="003968D5"/>
    <w:rsid w:val="003B7EBD"/>
    <w:rsid w:val="00413105"/>
    <w:rsid w:val="004304AB"/>
    <w:rsid w:val="00434FF6"/>
    <w:rsid w:val="00480B19"/>
    <w:rsid w:val="004B7FFB"/>
    <w:rsid w:val="004D1871"/>
    <w:rsid w:val="004D7747"/>
    <w:rsid w:val="00507E7C"/>
    <w:rsid w:val="00513D9B"/>
    <w:rsid w:val="00532FFA"/>
    <w:rsid w:val="00544DF6"/>
    <w:rsid w:val="00565ED8"/>
    <w:rsid w:val="00580214"/>
    <w:rsid w:val="005A5BA4"/>
    <w:rsid w:val="005A71A7"/>
    <w:rsid w:val="005B280E"/>
    <w:rsid w:val="005C4438"/>
    <w:rsid w:val="006207C6"/>
    <w:rsid w:val="00621757"/>
    <w:rsid w:val="0063736C"/>
    <w:rsid w:val="0066706E"/>
    <w:rsid w:val="00672952"/>
    <w:rsid w:val="00676648"/>
    <w:rsid w:val="006A123B"/>
    <w:rsid w:val="006B395A"/>
    <w:rsid w:val="006D0FF8"/>
    <w:rsid w:val="00722169"/>
    <w:rsid w:val="0073579F"/>
    <w:rsid w:val="00737DAA"/>
    <w:rsid w:val="00752C12"/>
    <w:rsid w:val="0076354F"/>
    <w:rsid w:val="00765E25"/>
    <w:rsid w:val="00780432"/>
    <w:rsid w:val="00780AB7"/>
    <w:rsid w:val="007A3726"/>
    <w:rsid w:val="007A4544"/>
    <w:rsid w:val="007B5CA0"/>
    <w:rsid w:val="007C01E9"/>
    <w:rsid w:val="007C09B9"/>
    <w:rsid w:val="007E6AE0"/>
    <w:rsid w:val="00834B1D"/>
    <w:rsid w:val="0083690B"/>
    <w:rsid w:val="00852CF9"/>
    <w:rsid w:val="00862747"/>
    <w:rsid w:val="00885F68"/>
    <w:rsid w:val="008B43BF"/>
    <w:rsid w:val="008C34D6"/>
    <w:rsid w:val="008D78F3"/>
    <w:rsid w:val="00916438"/>
    <w:rsid w:val="009165CB"/>
    <w:rsid w:val="00920A1C"/>
    <w:rsid w:val="009250F7"/>
    <w:rsid w:val="00951BDB"/>
    <w:rsid w:val="009542FA"/>
    <w:rsid w:val="00973FAD"/>
    <w:rsid w:val="009B6544"/>
    <w:rsid w:val="009D03B6"/>
    <w:rsid w:val="009D34DB"/>
    <w:rsid w:val="00A14973"/>
    <w:rsid w:val="00A250FD"/>
    <w:rsid w:val="00A26EBA"/>
    <w:rsid w:val="00A4281A"/>
    <w:rsid w:val="00A60211"/>
    <w:rsid w:val="00A84049"/>
    <w:rsid w:val="00A919EF"/>
    <w:rsid w:val="00AA43A5"/>
    <w:rsid w:val="00AC61C9"/>
    <w:rsid w:val="00AD374A"/>
    <w:rsid w:val="00AF1C2C"/>
    <w:rsid w:val="00AF37CD"/>
    <w:rsid w:val="00B03932"/>
    <w:rsid w:val="00B44D8F"/>
    <w:rsid w:val="00B644C4"/>
    <w:rsid w:val="00B6716D"/>
    <w:rsid w:val="00B8753E"/>
    <w:rsid w:val="00BA6FA4"/>
    <w:rsid w:val="00BB1172"/>
    <w:rsid w:val="00BC7D8D"/>
    <w:rsid w:val="00BD2E57"/>
    <w:rsid w:val="00BE7A8E"/>
    <w:rsid w:val="00BF5A34"/>
    <w:rsid w:val="00C131F6"/>
    <w:rsid w:val="00C21416"/>
    <w:rsid w:val="00C2768C"/>
    <w:rsid w:val="00C31BC2"/>
    <w:rsid w:val="00C5732D"/>
    <w:rsid w:val="00C94F1D"/>
    <w:rsid w:val="00CB66F4"/>
    <w:rsid w:val="00CC2FC7"/>
    <w:rsid w:val="00CC6AEF"/>
    <w:rsid w:val="00CC6BEB"/>
    <w:rsid w:val="00CD17C0"/>
    <w:rsid w:val="00D1167C"/>
    <w:rsid w:val="00D15B38"/>
    <w:rsid w:val="00D235EE"/>
    <w:rsid w:val="00D23BFA"/>
    <w:rsid w:val="00D326C1"/>
    <w:rsid w:val="00D32DAD"/>
    <w:rsid w:val="00D44F34"/>
    <w:rsid w:val="00D711BC"/>
    <w:rsid w:val="00D73143"/>
    <w:rsid w:val="00D77908"/>
    <w:rsid w:val="00D844D7"/>
    <w:rsid w:val="00DA2766"/>
    <w:rsid w:val="00E130EE"/>
    <w:rsid w:val="00E14D70"/>
    <w:rsid w:val="00E722B5"/>
    <w:rsid w:val="00E73C9C"/>
    <w:rsid w:val="00E77BE8"/>
    <w:rsid w:val="00EB3E15"/>
    <w:rsid w:val="00EF1DC2"/>
    <w:rsid w:val="00F23424"/>
    <w:rsid w:val="00F46BB9"/>
    <w:rsid w:val="00F46F78"/>
    <w:rsid w:val="00F56F2E"/>
    <w:rsid w:val="00F613A4"/>
    <w:rsid w:val="00F70778"/>
    <w:rsid w:val="00F70BDC"/>
    <w:rsid w:val="00F7522C"/>
    <w:rsid w:val="00F80A86"/>
    <w:rsid w:val="00FC1A16"/>
    <w:rsid w:val="00FC1E73"/>
    <w:rsid w:val="00FD1578"/>
    <w:rsid w:val="00FD3ECD"/>
    <w:rsid w:val="00FF1251"/>
    <w:rsid w:val="00FF378B"/>
    <w:rsid w:val="00FF69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79EED"/>
  <w15:chartTrackingRefBased/>
  <w15:docId w15:val="{B78E4966-2307-48E0-85B5-4DC9AD00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31F6"/>
    <w:pPr>
      <w:tabs>
        <w:tab w:val="center" w:pos="4153"/>
        <w:tab w:val="right" w:pos="8306"/>
      </w:tabs>
      <w:spacing w:after="0" w:line="240" w:lineRule="auto"/>
    </w:pPr>
  </w:style>
  <w:style w:type="character" w:customStyle="1" w:styleId="HeaderChar">
    <w:name w:val="Header Char"/>
    <w:basedOn w:val="DefaultParagraphFont"/>
    <w:link w:val="Header"/>
    <w:uiPriority w:val="99"/>
    <w:rsid w:val="00C131F6"/>
  </w:style>
  <w:style w:type="paragraph" w:styleId="Footer">
    <w:name w:val="footer"/>
    <w:basedOn w:val="Normal"/>
    <w:link w:val="FooterChar"/>
    <w:uiPriority w:val="99"/>
    <w:unhideWhenUsed/>
    <w:rsid w:val="00C131F6"/>
    <w:pPr>
      <w:tabs>
        <w:tab w:val="center" w:pos="4153"/>
        <w:tab w:val="right" w:pos="8306"/>
      </w:tabs>
      <w:spacing w:after="0" w:line="240" w:lineRule="auto"/>
    </w:pPr>
  </w:style>
  <w:style w:type="character" w:customStyle="1" w:styleId="FooterChar">
    <w:name w:val="Footer Char"/>
    <w:basedOn w:val="DefaultParagraphFont"/>
    <w:link w:val="Footer"/>
    <w:uiPriority w:val="99"/>
    <w:rsid w:val="00C131F6"/>
  </w:style>
  <w:style w:type="character" w:styleId="Hyperlink">
    <w:name w:val="Hyperlink"/>
    <w:basedOn w:val="DefaultParagraphFont"/>
    <w:uiPriority w:val="99"/>
    <w:unhideWhenUsed/>
    <w:rsid w:val="00D73143"/>
    <w:rPr>
      <w:color w:val="0563C1" w:themeColor="hyperlink"/>
      <w:u w:val="single"/>
    </w:rPr>
  </w:style>
  <w:style w:type="paragraph" w:styleId="BalloonText">
    <w:name w:val="Balloon Text"/>
    <w:basedOn w:val="Normal"/>
    <w:link w:val="BalloonTextChar"/>
    <w:uiPriority w:val="99"/>
    <w:semiHidden/>
    <w:unhideWhenUsed/>
    <w:rsid w:val="009B65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544"/>
    <w:rPr>
      <w:rFonts w:ascii="Segoe UI" w:hAnsi="Segoe UI" w:cs="Segoe UI"/>
      <w:sz w:val="18"/>
      <w:szCs w:val="18"/>
    </w:rPr>
  </w:style>
  <w:style w:type="paragraph" w:styleId="ListParagraph">
    <w:name w:val="List Paragraph"/>
    <w:basedOn w:val="Normal"/>
    <w:uiPriority w:val="34"/>
    <w:qFormat/>
    <w:rsid w:val="00FC1E73"/>
    <w:pPr>
      <w:ind w:left="720"/>
      <w:contextualSpacing/>
    </w:pPr>
  </w:style>
  <w:style w:type="character" w:styleId="UnresolvedMention">
    <w:name w:val="Unresolved Mention"/>
    <w:basedOn w:val="DefaultParagraphFont"/>
    <w:uiPriority w:val="99"/>
    <w:semiHidden/>
    <w:unhideWhenUsed/>
    <w:rsid w:val="00973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129326">
      <w:bodyDiv w:val="1"/>
      <w:marLeft w:val="0"/>
      <w:marRight w:val="0"/>
      <w:marTop w:val="0"/>
      <w:marBottom w:val="0"/>
      <w:divBdr>
        <w:top w:val="none" w:sz="0" w:space="0" w:color="auto"/>
        <w:left w:val="none" w:sz="0" w:space="0" w:color="auto"/>
        <w:bottom w:val="none" w:sz="0" w:space="0" w:color="auto"/>
        <w:right w:val="none" w:sz="0" w:space="0" w:color="auto"/>
      </w:divBdr>
    </w:div>
    <w:div w:id="410857245">
      <w:bodyDiv w:val="1"/>
      <w:marLeft w:val="0"/>
      <w:marRight w:val="0"/>
      <w:marTop w:val="0"/>
      <w:marBottom w:val="0"/>
      <w:divBdr>
        <w:top w:val="none" w:sz="0" w:space="0" w:color="auto"/>
        <w:left w:val="none" w:sz="0" w:space="0" w:color="auto"/>
        <w:bottom w:val="none" w:sz="0" w:space="0" w:color="auto"/>
        <w:right w:val="none" w:sz="0" w:space="0" w:color="auto"/>
      </w:divBdr>
    </w:div>
    <w:div w:id="436214213">
      <w:bodyDiv w:val="1"/>
      <w:marLeft w:val="0"/>
      <w:marRight w:val="0"/>
      <w:marTop w:val="0"/>
      <w:marBottom w:val="0"/>
      <w:divBdr>
        <w:top w:val="none" w:sz="0" w:space="0" w:color="auto"/>
        <w:left w:val="none" w:sz="0" w:space="0" w:color="auto"/>
        <w:bottom w:val="none" w:sz="0" w:space="0" w:color="auto"/>
        <w:right w:val="none" w:sz="0" w:space="0" w:color="auto"/>
      </w:divBdr>
      <w:divsChild>
        <w:div w:id="885263289">
          <w:marLeft w:val="0"/>
          <w:marRight w:val="0"/>
          <w:marTop w:val="0"/>
          <w:marBottom w:val="0"/>
          <w:divBdr>
            <w:top w:val="none" w:sz="0" w:space="0" w:color="auto"/>
            <w:left w:val="none" w:sz="0" w:space="0" w:color="auto"/>
            <w:bottom w:val="none" w:sz="0" w:space="0" w:color="auto"/>
            <w:right w:val="none" w:sz="0" w:space="0" w:color="auto"/>
          </w:divBdr>
          <w:divsChild>
            <w:div w:id="1983270085">
              <w:marLeft w:val="0"/>
              <w:marRight w:val="0"/>
              <w:marTop w:val="0"/>
              <w:marBottom w:val="0"/>
              <w:divBdr>
                <w:top w:val="none" w:sz="0" w:space="0" w:color="auto"/>
                <w:left w:val="none" w:sz="0" w:space="0" w:color="auto"/>
                <w:bottom w:val="none" w:sz="0" w:space="0" w:color="auto"/>
                <w:right w:val="none" w:sz="0" w:space="0" w:color="auto"/>
              </w:divBdr>
            </w:div>
          </w:divsChild>
        </w:div>
        <w:div w:id="1580019769">
          <w:marLeft w:val="0"/>
          <w:marRight w:val="0"/>
          <w:marTop w:val="0"/>
          <w:marBottom w:val="0"/>
          <w:divBdr>
            <w:top w:val="none" w:sz="0" w:space="0" w:color="auto"/>
            <w:left w:val="none" w:sz="0" w:space="0" w:color="auto"/>
            <w:bottom w:val="none" w:sz="0" w:space="0" w:color="auto"/>
            <w:right w:val="none" w:sz="0" w:space="0" w:color="auto"/>
          </w:divBdr>
          <w:divsChild>
            <w:div w:id="12795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61851">
      <w:bodyDiv w:val="1"/>
      <w:marLeft w:val="0"/>
      <w:marRight w:val="0"/>
      <w:marTop w:val="0"/>
      <w:marBottom w:val="0"/>
      <w:divBdr>
        <w:top w:val="none" w:sz="0" w:space="0" w:color="auto"/>
        <w:left w:val="none" w:sz="0" w:space="0" w:color="auto"/>
        <w:bottom w:val="none" w:sz="0" w:space="0" w:color="auto"/>
        <w:right w:val="none" w:sz="0" w:space="0" w:color="auto"/>
      </w:divBdr>
    </w:div>
    <w:div w:id="161081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osama.os129@domazhermedicine.edu.eg"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Dr Mahmoud</cp:lastModifiedBy>
  <cp:revision>4</cp:revision>
  <cp:lastPrinted>2019-10-20T10:24:00Z</cp:lastPrinted>
  <dcterms:created xsi:type="dcterms:W3CDTF">2020-02-09T21:33:00Z</dcterms:created>
  <dcterms:modified xsi:type="dcterms:W3CDTF">2020-02-09T21:46:00Z</dcterms:modified>
</cp:coreProperties>
</file>