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3A36" w14:textId="77777777" w:rsidR="00EE658C" w:rsidRPr="00EE658C" w:rsidRDefault="00EE658C" w:rsidP="00EE658C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EE658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المجلة الدولية للفنون الطبية، المجلد الثاني، العدد الأول، يناير 2020، الصفحات 179- 184. 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EE658C" w:rsidRPr="00EE658C" w14:paraId="4E5FC5FE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5F4F0EC5" w14:textId="77777777" w:rsidR="00EE658C" w:rsidRPr="00EE658C" w:rsidRDefault="00EE658C" w:rsidP="00EE6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8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F18427" wp14:editId="2A67C9E6">
                  <wp:extent cx="1054735" cy="1123627"/>
                  <wp:effectExtent l="0" t="0" r="0" b="635"/>
                  <wp:docPr id="15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76F67DA5" w14:textId="77777777" w:rsidR="00EE658C" w:rsidRPr="00EE658C" w:rsidRDefault="00EE658C" w:rsidP="00EE65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3F1A3A" w14:textId="77777777" w:rsidR="00EE658C" w:rsidRPr="00EE658C" w:rsidRDefault="00EE658C" w:rsidP="00EE6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34DE0381" w14:textId="77777777" w:rsidR="00EE658C" w:rsidRPr="00EE658C" w:rsidRDefault="00EE658C" w:rsidP="00EE6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8C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44393CF0" w14:textId="77777777" w:rsidR="00EE658C" w:rsidRPr="00EE658C" w:rsidRDefault="00EE658C" w:rsidP="00EE6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62E38B31" w14:textId="77777777" w:rsidR="00EE658C" w:rsidRPr="00EE658C" w:rsidRDefault="00EE658C" w:rsidP="00EE6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8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B94E99" wp14:editId="62093FD0">
                  <wp:extent cx="948582" cy="1162060"/>
                  <wp:effectExtent l="0" t="0" r="4445" b="0"/>
                  <wp:docPr id="17" name="Picture 17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B9064" w14:textId="77777777" w:rsidR="00EE658C" w:rsidRPr="00EE658C" w:rsidRDefault="00EE658C" w:rsidP="00EE658C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EE658C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471F347A" w14:textId="77777777" w:rsidR="00EE658C" w:rsidRPr="00EE658C" w:rsidRDefault="00EE658C" w:rsidP="00EE65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132D1898" w14:textId="77777777" w:rsidR="00EE658C" w:rsidRPr="00EE658C" w:rsidRDefault="00EE658C" w:rsidP="00EE65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EE658C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العلاقة بين المرونة النفسية وتواتر الانتكاس وإعادة الاستشفاء في عينة من مرضى الفصام الذين يزورون مستشفى بورسعيد للصحة العقلية وعلاج الإدمان</w:t>
      </w:r>
    </w:p>
    <w:p w14:paraId="441544C1" w14:textId="77777777" w:rsidR="00EE658C" w:rsidRPr="00EE658C" w:rsidRDefault="00EE658C" w:rsidP="00EE65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14:paraId="7EFB692A" w14:textId="77777777" w:rsidR="00EE658C" w:rsidRPr="00EE658C" w:rsidRDefault="00EE658C" w:rsidP="00EE65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علي عبدالرحمن</w:t>
      </w: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1</w:t>
      </w: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 محمد رمضان</w:t>
      </w: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1</w:t>
      </w: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 أيمن الحسين عبدالمقصود</w:t>
      </w: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2</w:t>
      </w: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 أمجد إبراهيم</w:t>
      </w: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3</w:t>
      </w:r>
    </w:p>
    <w:p w14:paraId="0DFE7449" w14:textId="77777777" w:rsidR="00EE658C" w:rsidRPr="00EE658C" w:rsidRDefault="00EE658C" w:rsidP="00EE65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5BFCA17" w14:textId="77777777" w:rsidR="00EE658C" w:rsidRPr="00EE658C" w:rsidRDefault="00EE658C" w:rsidP="00EE658C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rtl/>
        </w:rPr>
      </w:pPr>
      <w:r w:rsidRPr="00EE658C">
        <w:rPr>
          <w:rFonts w:ascii="Times New Roman" w:eastAsia="Calibri" w:hAnsi="Times New Roman" w:cs="Times New Roman"/>
          <w:rtl/>
        </w:rPr>
        <w:t>قسم الطب النفسي ، كلية الطب ، جامعة الأزهر ، مصر</w:t>
      </w:r>
      <w:r w:rsidRPr="00EE658C">
        <w:rPr>
          <w:rFonts w:ascii="Times New Roman" w:eastAsia="Calibri" w:hAnsi="Times New Roman" w:cs="Times New Roman" w:hint="cs"/>
          <w:vertAlign w:val="superscript"/>
          <w:rtl/>
        </w:rPr>
        <w:t>1</w:t>
      </w:r>
    </w:p>
    <w:p w14:paraId="59B8CFB0" w14:textId="77777777" w:rsidR="00EE658C" w:rsidRPr="00EE658C" w:rsidRDefault="00EE658C" w:rsidP="00EE658C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rtl/>
        </w:rPr>
      </w:pPr>
      <w:r w:rsidRPr="00EE658C">
        <w:rPr>
          <w:rFonts w:ascii="Times New Roman" w:eastAsia="Calibri" w:hAnsi="Times New Roman" w:cs="Times New Roman"/>
          <w:rtl/>
        </w:rPr>
        <w:t>قسم الطب النفسي ، كلية الطب بدمياط ، جامعة الأزهر ، مصر</w:t>
      </w:r>
      <w:r w:rsidRPr="00EE658C">
        <w:rPr>
          <w:rFonts w:ascii="Times New Roman" w:eastAsia="Calibri" w:hAnsi="Times New Roman" w:cs="Times New Roman" w:hint="cs"/>
          <w:vertAlign w:val="superscript"/>
          <w:rtl/>
        </w:rPr>
        <w:t>2</w:t>
      </w:r>
    </w:p>
    <w:p w14:paraId="22046C2E" w14:textId="77777777" w:rsidR="00EE658C" w:rsidRPr="00EE658C" w:rsidRDefault="00EE658C" w:rsidP="00EE658C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rtl/>
        </w:rPr>
      </w:pPr>
      <w:r w:rsidRPr="00EE658C">
        <w:rPr>
          <w:rFonts w:ascii="Times New Roman" w:eastAsia="Calibri" w:hAnsi="Times New Roman" w:cs="Times New Roman"/>
          <w:rtl/>
        </w:rPr>
        <w:t>مستشفى بورسعيد للصحة النفسية وعلاج الإدمان ، بورسعيد ، مصر</w:t>
      </w:r>
      <w:r w:rsidRPr="00EE658C">
        <w:rPr>
          <w:rFonts w:ascii="Times New Roman" w:eastAsia="Calibri" w:hAnsi="Times New Roman" w:cs="Times New Roman" w:hint="cs"/>
          <w:vertAlign w:val="superscript"/>
          <w:rtl/>
        </w:rPr>
        <w:t>3</w:t>
      </w:r>
      <w:r w:rsidRPr="00EE658C">
        <w:rPr>
          <w:rFonts w:ascii="Times New Roman" w:eastAsia="Calibri" w:hAnsi="Times New Roman" w:cs="Times New Roman"/>
        </w:rPr>
        <w:t xml:space="preserve"> </w:t>
      </w:r>
    </w:p>
    <w:p w14:paraId="1EB6E100" w14:textId="77777777" w:rsidR="00EE658C" w:rsidRPr="00EE658C" w:rsidRDefault="00EE658C" w:rsidP="00EE658C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8E290FE" w14:textId="77777777" w:rsidR="00EE658C" w:rsidRPr="00EE658C" w:rsidRDefault="00EE658C" w:rsidP="00EE658C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EE658C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المؤلف المراسل: </w:t>
      </w:r>
      <w:r w:rsidRPr="00EE658C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أمجد إبراهيم</w:t>
      </w:r>
    </w:p>
    <w:p w14:paraId="56E151DD" w14:textId="77777777" w:rsidR="00EE658C" w:rsidRPr="00EE658C" w:rsidRDefault="00EE658C" w:rsidP="00EE658C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EE658C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البريد الالكتروني: </w:t>
      </w:r>
      <w:hyperlink r:id="rId7" w:history="1">
        <w:r w:rsidRPr="00EE658C">
          <w:rPr>
            <w:rFonts w:ascii="Times New Roman" w:eastAsia="Calibri" w:hAnsi="Times New Roman" w:cs="Times New Roman"/>
            <w:color w:val="2E74B5"/>
            <w:sz w:val="18"/>
            <w:szCs w:val="18"/>
          </w:rPr>
          <w:t>amjad900@hotmail.com</w:t>
        </w:r>
      </w:hyperlink>
    </w:p>
    <w:p w14:paraId="1D0E7337" w14:textId="77777777" w:rsidR="00EE658C" w:rsidRPr="00EE658C" w:rsidRDefault="00EE658C" w:rsidP="00EE658C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EE658C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r w:rsidRPr="00EE658C">
        <w:rPr>
          <w:rFonts w:ascii="Times New Roman" w:eastAsia="Calibri" w:hAnsi="Times New Roman" w:cs="Times New Roman"/>
          <w:color w:val="2E74B5"/>
          <w:sz w:val="20"/>
          <w:szCs w:val="20"/>
        </w:rPr>
        <w:t>10.21608/ijma.2019.17578.1034</w:t>
      </w:r>
    </w:p>
    <w:p w14:paraId="4E66B5FC" w14:textId="77777777" w:rsidR="00EE658C" w:rsidRPr="00EE658C" w:rsidRDefault="00EE658C" w:rsidP="00EE658C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E658C">
        <w:rPr>
          <w:rFonts w:ascii="Times New Roman" w:eastAsia="Calibri" w:hAnsi="Times New Roman" w:cs="Times New Roman"/>
          <w:sz w:val="18"/>
          <w:szCs w:val="18"/>
          <w:rtl/>
        </w:rPr>
        <w:t xml:space="preserve">تاريخ الاستلام: </w:t>
      </w:r>
      <w:r w:rsidRPr="00EE658C">
        <w:rPr>
          <w:rFonts w:ascii="Times New Roman" w:eastAsia="Calibri" w:hAnsi="Times New Roman" w:cs="Times New Roman" w:hint="cs"/>
          <w:sz w:val="18"/>
          <w:szCs w:val="18"/>
          <w:rtl/>
        </w:rPr>
        <w:t xml:space="preserve">30 -9- 2019، تاريخ المراجعة: 30 -10- 2019، تاريخ القبول للنشر: 1- 11- 2019،  تاريخ النشر علي الموقع الالكتروني: 1-11-2019. </w:t>
      </w:r>
    </w:p>
    <w:p w14:paraId="55605671" w14:textId="77777777" w:rsidR="00EE658C" w:rsidRPr="00EE658C" w:rsidRDefault="00EE658C" w:rsidP="00EE658C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658C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</w:t>
      </w:r>
    </w:p>
    <w:p w14:paraId="6BE11B58" w14:textId="77777777" w:rsidR="00EE658C" w:rsidRPr="00EE658C" w:rsidRDefault="00EE658C" w:rsidP="00EE65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E2E732" w14:textId="77777777" w:rsidR="00EE658C" w:rsidRPr="00EE658C" w:rsidRDefault="00EE658C" w:rsidP="00EE65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E658C" w:rsidRPr="00EE658C" w14:paraId="1BCA48C7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5CCC361D" w14:textId="77777777" w:rsidR="00EE658C" w:rsidRPr="00EE658C" w:rsidRDefault="00EE658C" w:rsidP="00EE658C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E658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  <w:p w14:paraId="2144E548" w14:textId="77777777" w:rsidR="00EE658C" w:rsidRPr="00EE658C" w:rsidRDefault="00EE658C" w:rsidP="00EE658C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E658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المقدمة: 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الانتكاس شائع ويسبب عبئًا 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كبيرًا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على مرضى الفصام.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والضغط العصبي (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الإجهاد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)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هو عامل رئيس في الانتكاس، لذلك يُقترح أن يكون للعوامل المقاومة للإجهاد دور مهم لمنع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الانتكاس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وتحسين النتائج في مرض انفصام الشخصية.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و المرونة 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أحد هذه العوامل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6B1CC076" w14:textId="77777777" w:rsidR="00EE658C" w:rsidRPr="00EE658C" w:rsidRDefault="00EE658C" w:rsidP="00EE658C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E658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الهدف من الدراسة: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لعثور على العلاقة بين المرونة وتكرار الانتكاس بين مرضى الفصام ، والمساعدة في تطوير برامج علاجية جديدة قد تؤدي إلى تقليل تواتر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(تكرار)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الانتكاس في مرضى الفصام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49106FBE" w14:textId="77777777" w:rsidR="00EE658C" w:rsidRPr="00EE658C" w:rsidRDefault="00EE658C" w:rsidP="00EE658C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E65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المرضى وطرق</w:t>
            </w:r>
            <w:r w:rsidRPr="00EE658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البحث</w:t>
            </w:r>
            <w:r w:rsidRPr="00EE65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: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هذه دراسة مقطعية.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فقد 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 اختيار ثمانين مريضا مصابا بالفصام من بين المرضى الذين حضروا عيادة بورسعيد للصحة النفسية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(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56 من الذكور و 24 من الإناث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)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 تم تقييم الحالة الذهانية باستخدام مقياس المتلازمة الإيجابية والسلبية (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</w:rPr>
              <w:t>PANSS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)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، و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 تقييم الالتزام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ب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الدواء باستخدام مقياس 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</w:rPr>
              <w:t>Morisky-8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.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تم تقييم المرونة باستخدام مقياس موقف المرونة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. </w:t>
            </w:r>
          </w:p>
          <w:p w14:paraId="169BB60D" w14:textId="77777777" w:rsidR="00EE658C" w:rsidRPr="00EE658C" w:rsidRDefault="00EE658C" w:rsidP="00EE658C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E658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النتائج: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لم يكن هناك عمومًا أي اختلاف في العمر أو الجنس أو نوع العمل أو اختلافات في الحالة التعليمية أوالاجتماعية فيما يتعلق بتكرار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دخول المستشفي (الحجز بالمستشفي). و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بالإضافة إلى ذلك ، لم تكن هناك علاقة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ذات دلالة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إحصائية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بين 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تكرار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الحجز بالمستشفي وبين مستوي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التعليم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الزواج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.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على الجانب الآخر، ف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قد وجد أ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ن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مستوي المرونة مرتفع بصورة يعتد بها إحصائيا لدي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المرضى الذين تم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دخولهم المستشفي 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أقل من أو يساوي مرتين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قارنة ب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من تم </w:t>
            </w:r>
            <w:r w:rsidRPr="00EE658C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دخولهم المستشفي 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أكثر من مرتين</w:t>
            </w:r>
          </w:p>
          <w:p w14:paraId="6EA3C505" w14:textId="77777777" w:rsidR="00EE658C" w:rsidRPr="00EE658C" w:rsidRDefault="00EE658C" w:rsidP="00EE658C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5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الخلاصة:</w:t>
            </w:r>
            <w:r w:rsidRPr="00EE658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المرونة هي عامل وقائي مهم للغاية ضد الانتكاس في مرضى الفصام</w:t>
            </w:r>
          </w:p>
        </w:tc>
      </w:tr>
    </w:tbl>
    <w:p w14:paraId="3A56CCCA" w14:textId="77777777" w:rsidR="00EE658C" w:rsidRPr="00EE658C" w:rsidRDefault="00EE658C" w:rsidP="00EE658C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2EFB3AB3" w14:textId="77777777" w:rsidR="00EE658C" w:rsidRPr="00EE658C" w:rsidRDefault="00EE658C" w:rsidP="00EE658C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EE658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الكلمات المفتاحية: انفصام فى الشخصية</w:t>
      </w: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</w:t>
      </w:r>
      <w:r w:rsidRPr="00EE658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الانتكاس</w:t>
      </w: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</w:t>
      </w:r>
      <w:r w:rsidRPr="00EE658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المرونة</w:t>
      </w: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</w:t>
      </w:r>
      <w:r w:rsidRPr="00EE658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ضغط عصبى</w:t>
      </w:r>
      <w:r w:rsidRPr="00EE658C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، دخول المستشفي للعلاج. </w:t>
      </w:r>
    </w:p>
    <w:p w14:paraId="7707AC48" w14:textId="77777777" w:rsidR="00EE658C" w:rsidRPr="00EE658C" w:rsidRDefault="00EE658C" w:rsidP="00EE658C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EE658C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EE658C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EE658C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</w:t>
      </w:r>
      <w:r w:rsidRPr="00EE658C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الاصدار الثاني</w:t>
      </w:r>
      <w:r w:rsidRPr="00EE658C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  <w:r w:rsidRPr="00EE658C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7C693C64" w14:textId="77777777" w:rsidR="00EE658C" w:rsidRPr="00EE658C" w:rsidRDefault="00EE658C" w:rsidP="00EE658C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rtl/>
          <w:lang w:bidi="ar-EG"/>
        </w:rPr>
      </w:pPr>
      <w:r w:rsidRPr="00EE658C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يرجى الاستشهاد بهذه المقالة كالآتي:</w:t>
      </w:r>
    </w:p>
    <w:p w14:paraId="6C3EBA71" w14:textId="77777777" w:rsidR="00EE658C" w:rsidRPr="00EE658C" w:rsidRDefault="00EE658C" w:rsidP="00EE658C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14:paraId="3D837377" w14:textId="77777777" w:rsidR="00EE658C" w:rsidRPr="00EE658C" w:rsidRDefault="00EE658C" w:rsidP="00EE658C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73F5F03" w14:textId="77777777" w:rsidR="00EB301A" w:rsidRPr="00EE658C" w:rsidRDefault="00EB301A" w:rsidP="00EE658C">
      <w:pPr>
        <w:bidi/>
      </w:pPr>
      <w:bookmarkStart w:id="0" w:name="_GoBack"/>
      <w:bookmarkEnd w:id="0"/>
    </w:p>
    <w:sectPr w:rsidR="00EB301A" w:rsidRPr="00EE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8C"/>
    <w:rsid w:val="005B7681"/>
    <w:rsid w:val="009E5869"/>
    <w:rsid w:val="00EB301A"/>
    <w:rsid w:val="00E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DEBA"/>
  <w15:chartTrackingRefBased/>
  <w15:docId w15:val="{3F6E87EC-597A-4A06-A5FD-5C95ECB7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jad900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2020-02-09T21:34:00Z</dcterms:created>
  <dcterms:modified xsi:type="dcterms:W3CDTF">2020-02-09T21:35:00Z</dcterms:modified>
</cp:coreProperties>
</file>