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066EB7" w14:textId="77777777" w:rsidR="00F70B04" w:rsidRPr="00F70B04" w:rsidRDefault="00F70B04" w:rsidP="00F70B04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bookmarkStart w:id="0" w:name="_GoBack"/>
      <w:bookmarkEnd w:id="0"/>
      <w:r w:rsidRPr="00F70B04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المجلة الدولية للفنون الطبية، المجلد الثاني، العدد الأول، يناير 2020، الصفحات 191- 198. </w:t>
      </w:r>
    </w:p>
    <w:tbl>
      <w:tblPr>
        <w:tblW w:w="5000" w:type="pct"/>
        <w:tblBorders>
          <w:top w:val="thinThickSmallGap" w:sz="24" w:space="0" w:color="538135"/>
          <w:bottom w:val="thinThickSmallGap" w:sz="24" w:space="0" w:color="538135"/>
        </w:tblBorders>
        <w:tblLook w:val="04A0" w:firstRow="1" w:lastRow="0" w:firstColumn="1" w:lastColumn="0" w:noHBand="0" w:noVBand="1"/>
      </w:tblPr>
      <w:tblGrid>
        <w:gridCol w:w="1937"/>
        <w:gridCol w:w="5592"/>
        <w:gridCol w:w="1831"/>
      </w:tblGrid>
      <w:tr w:rsidR="00F70B04" w:rsidRPr="00F70B04" w14:paraId="0B78C47B" w14:textId="77777777" w:rsidTr="0054732C">
        <w:trPr>
          <w:trHeight w:val="1961"/>
        </w:trPr>
        <w:tc>
          <w:tcPr>
            <w:tcW w:w="1035" w:type="pct"/>
            <w:shd w:val="clear" w:color="auto" w:fill="auto"/>
            <w:vAlign w:val="center"/>
          </w:tcPr>
          <w:p w14:paraId="5AD25798" w14:textId="77777777" w:rsidR="00F70B04" w:rsidRPr="00F70B04" w:rsidRDefault="00F70B04" w:rsidP="00F70B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B0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4ADFCF28" wp14:editId="071B0F6C">
                  <wp:extent cx="1054735" cy="1123627"/>
                  <wp:effectExtent l="0" t="0" r="0" b="635"/>
                  <wp:docPr id="20" name="Picture 1" descr="F:\IJMA-2019\covers\11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covers\11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5113" cy="11346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87" w:type="pct"/>
            <w:shd w:val="clear" w:color="auto" w:fill="auto"/>
          </w:tcPr>
          <w:p w14:paraId="52773863" w14:textId="77777777" w:rsidR="00F70B04" w:rsidRPr="00F70B04" w:rsidRDefault="00F70B04" w:rsidP="00F70B04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2BB0375" w14:textId="77777777" w:rsidR="00F70B04" w:rsidRPr="00F70B04" w:rsidRDefault="00F70B04" w:rsidP="00F70B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</w:pPr>
            <w:r w:rsidRPr="00F70B04">
              <w:rPr>
                <w:rFonts w:ascii="Times New Roman" w:eastAsia="Calibri" w:hAnsi="Times New Roman" w:cs="Times New Roman"/>
                <w:sz w:val="24"/>
                <w:szCs w:val="24"/>
                <w:rtl/>
                <w:lang w:bidi="ar-EG"/>
              </w:rPr>
              <w:t xml:space="preserve">متاح علي الموقع الالكتروني للمجلة </w:t>
            </w:r>
          </w:p>
          <w:p w14:paraId="1B808303" w14:textId="77777777" w:rsidR="00F70B04" w:rsidRPr="00F70B04" w:rsidRDefault="00F70B04" w:rsidP="00F70B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B04">
              <w:rPr>
                <w:rFonts w:ascii="Times New Roman" w:eastAsia="Calibri" w:hAnsi="Times New Roman" w:cs="Times New Roman"/>
                <w:sz w:val="24"/>
                <w:szCs w:val="24"/>
              </w:rPr>
              <w:t>https://ijma.journals.ekb.eg/</w:t>
            </w:r>
          </w:p>
          <w:p w14:paraId="2C2EC5F6" w14:textId="77777777" w:rsidR="00F70B04" w:rsidRPr="00F70B04" w:rsidRDefault="00F70B04" w:rsidP="00F70B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78" w:type="pct"/>
            <w:shd w:val="clear" w:color="auto" w:fill="auto"/>
            <w:vAlign w:val="center"/>
          </w:tcPr>
          <w:p w14:paraId="196D26DE" w14:textId="77777777" w:rsidR="00F70B04" w:rsidRPr="00F70B04" w:rsidRDefault="00F70B04" w:rsidP="00F70B0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0B04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342B4633" wp14:editId="7B30F38E">
                  <wp:extent cx="948582" cy="1162060"/>
                  <wp:effectExtent l="0" t="0" r="4445" b="0"/>
                  <wp:docPr id="21" name="Picture 21" descr="F:\IJMA-2019\imhote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F:\IJMA-2019\imhote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6">
                                    <a14:imgEffect>
                                      <a14:brightnessContrast bright="2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333" cy="11985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164E25" w14:textId="77777777" w:rsidR="00F70B04" w:rsidRPr="00F70B04" w:rsidRDefault="00F70B04" w:rsidP="00F70B04">
      <w:pPr>
        <w:widowControl w:val="0"/>
        <w:bidi/>
        <w:spacing w:after="0" w:line="240" w:lineRule="auto"/>
        <w:rPr>
          <w:rFonts w:ascii="Times New Roman" w:eastAsia="Calibri" w:hAnsi="Times New Roman" w:cs="Times New Roman"/>
          <w:b/>
          <w:bCs/>
          <w:color w:val="002060"/>
          <w:sz w:val="24"/>
          <w:szCs w:val="24"/>
        </w:rPr>
      </w:pPr>
      <w:r w:rsidRPr="00F70B04">
        <w:rPr>
          <w:rFonts w:ascii="Times New Roman" w:eastAsia="Calibri" w:hAnsi="Times New Roman" w:cs="Times New Roman"/>
          <w:b/>
          <w:bCs/>
          <w:color w:val="002060"/>
          <w:sz w:val="24"/>
          <w:szCs w:val="24"/>
          <w:rtl/>
        </w:rPr>
        <w:t>مقالة أصيلة</w:t>
      </w:r>
    </w:p>
    <w:p w14:paraId="79C0A267" w14:textId="77777777" w:rsidR="00F70B04" w:rsidRPr="00F70B04" w:rsidRDefault="00F70B04" w:rsidP="00F70B0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8"/>
          <w:szCs w:val="8"/>
        </w:rPr>
      </w:pPr>
    </w:p>
    <w:p w14:paraId="6E2335C3" w14:textId="77777777" w:rsidR="00F70B04" w:rsidRPr="00F70B04" w:rsidRDefault="00F70B04" w:rsidP="00F70B0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rtl/>
        </w:rPr>
      </w:pPr>
      <w:r w:rsidRPr="00F70B04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 xml:space="preserve">تحليل تدفق السائل النخاعي في تقييم كفاءة </w:t>
      </w:r>
      <w:r w:rsidRPr="00F70B04">
        <w:rPr>
          <w:rFonts w:ascii="Times New Roman" w:eastAsia="Calibri" w:hAnsi="Times New Roman" w:cs="Times New Roman" w:hint="cs"/>
          <w:b/>
          <w:bCs/>
          <w:sz w:val="28"/>
          <w:szCs w:val="28"/>
          <w:rtl/>
        </w:rPr>
        <w:t>فغر</w:t>
      </w:r>
      <w:r w:rsidRPr="00F70B04">
        <w:rPr>
          <w:rFonts w:ascii="Times New Roman" w:eastAsia="Calibri" w:hAnsi="Times New Roman" w:cs="Times New Roman"/>
          <w:b/>
          <w:bCs/>
          <w:sz w:val="28"/>
          <w:szCs w:val="28"/>
          <w:rtl/>
        </w:rPr>
        <w:t>البطين الثالث بالمنظار في تضيق القناة المائية</w:t>
      </w:r>
    </w:p>
    <w:p w14:paraId="57D26CDB" w14:textId="77777777" w:rsidR="00F70B04" w:rsidRPr="00F70B04" w:rsidRDefault="00F70B04" w:rsidP="00F70B0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محمد حسام الدين أبوشهبة</w:t>
      </w: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vertAlign w:val="superscript"/>
          <w:rtl/>
        </w:rPr>
        <w:t>1</w:t>
      </w: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 محمد الجبالي أحمد الهادي</w:t>
      </w: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vertAlign w:val="superscript"/>
          <w:rtl/>
        </w:rPr>
        <w:t>1</w:t>
      </w: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 حاتم محممد السمولي</w:t>
      </w: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vertAlign w:val="superscript"/>
          <w:rtl/>
        </w:rPr>
        <w:t>1</w:t>
      </w: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>، إسلام محمد الشويحي</w:t>
      </w: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vertAlign w:val="superscript"/>
          <w:rtl/>
        </w:rPr>
        <w:t>2</w:t>
      </w:r>
    </w:p>
    <w:p w14:paraId="3EA6E081" w14:textId="77777777" w:rsidR="00F70B04" w:rsidRPr="00F70B04" w:rsidRDefault="00F70B04" w:rsidP="00F70B0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 </w:t>
      </w:r>
    </w:p>
    <w:p w14:paraId="22FF91A0" w14:textId="77777777" w:rsidR="00F70B04" w:rsidRPr="00F70B04" w:rsidRDefault="00F70B04" w:rsidP="00F70B0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vertAlign w:val="superscript"/>
          <w:rtl/>
        </w:rPr>
      </w:pPr>
      <w:r w:rsidRPr="00F70B04">
        <w:rPr>
          <w:rFonts w:ascii="Times New Roman" w:eastAsia="Calibri" w:hAnsi="Times New Roman" w:cs="Times New Roman"/>
          <w:sz w:val="24"/>
          <w:szCs w:val="24"/>
          <w:rtl/>
        </w:rPr>
        <w:t xml:space="preserve">قسم جراحة المخ والأعصاب ، كلية </w:t>
      </w:r>
      <w:r w:rsidRPr="00F70B04">
        <w:rPr>
          <w:rFonts w:ascii="Times New Roman" w:eastAsia="Calibri" w:hAnsi="Times New Roman" w:cs="Times New Roman" w:hint="cs"/>
          <w:sz w:val="24"/>
          <w:szCs w:val="24"/>
          <w:rtl/>
        </w:rPr>
        <w:t>ال</w:t>
      </w:r>
      <w:r w:rsidRPr="00F70B04">
        <w:rPr>
          <w:rFonts w:ascii="Times New Roman" w:eastAsia="Calibri" w:hAnsi="Times New Roman" w:cs="Times New Roman"/>
          <w:sz w:val="24"/>
          <w:szCs w:val="24"/>
          <w:rtl/>
        </w:rPr>
        <w:t xml:space="preserve">طب </w:t>
      </w:r>
      <w:r w:rsidRPr="00F70B04">
        <w:rPr>
          <w:rFonts w:ascii="Times New Roman" w:eastAsia="Calibri" w:hAnsi="Times New Roman" w:cs="Times New Roman" w:hint="cs"/>
          <w:sz w:val="24"/>
          <w:szCs w:val="24"/>
          <w:rtl/>
        </w:rPr>
        <w:t>ب</w:t>
      </w:r>
      <w:r w:rsidRPr="00F70B04">
        <w:rPr>
          <w:rFonts w:ascii="Times New Roman" w:eastAsia="Calibri" w:hAnsi="Times New Roman" w:cs="Times New Roman"/>
          <w:sz w:val="24"/>
          <w:szCs w:val="24"/>
          <w:rtl/>
        </w:rPr>
        <w:t>دمياط ، جامعة الأزهر ، مصر</w:t>
      </w:r>
      <w:r w:rsidRPr="00F70B04">
        <w:rPr>
          <w:rFonts w:ascii="Times New Roman" w:eastAsia="Calibri" w:hAnsi="Times New Roman" w:cs="Times New Roman" w:hint="cs"/>
          <w:sz w:val="24"/>
          <w:szCs w:val="24"/>
          <w:vertAlign w:val="superscript"/>
          <w:rtl/>
        </w:rPr>
        <w:t>1</w:t>
      </w:r>
    </w:p>
    <w:p w14:paraId="41827C05" w14:textId="77777777" w:rsidR="00F70B04" w:rsidRPr="00F70B04" w:rsidRDefault="00F70B04" w:rsidP="00F70B04">
      <w:pPr>
        <w:widowControl w:val="0"/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  <w:rtl/>
        </w:rPr>
      </w:pPr>
      <w:r w:rsidRPr="00F70B04">
        <w:rPr>
          <w:rFonts w:ascii="Times New Roman" w:eastAsia="Calibri" w:hAnsi="Times New Roman" w:cs="Times New Roman"/>
          <w:sz w:val="24"/>
          <w:szCs w:val="24"/>
          <w:rtl/>
        </w:rPr>
        <w:t>قسم جراحة المخ والأعصاب ،</w:t>
      </w:r>
      <w:r w:rsidRPr="00F70B04">
        <w:rPr>
          <w:rFonts w:ascii="Calibri" w:eastAsia="Calibri" w:hAnsi="Calibri" w:cs="Arial"/>
          <w:rtl/>
        </w:rPr>
        <w:t xml:space="preserve"> </w:t>
      </w:r>
      <w:r w:rsidRPr="00F70B04">
        <w:rPr>
          <w:rFonts w:ascii="Calibri" w:eastAsia="Calibri" w:hAnsi="Calibri" w:cs="Arial" w:hint="cs"/>
          <w:rtl/>
        </w:rPr>
        <w:t>مستشفي</w:t>
      </w:r>
      <w:r w:rsidRPr="00F70B04">
        <w:rPr>
          <w:rFonts w:ascii="Times New Roman" w:eastAsia="Calibri" w:hAnsi="Times New Roman" w:cs="Times New Roman"/>
          <w:sz w:val="24"/>
          <w:szCs w:val="24"/>
          <w:rtl/>
        </w:rPr>
        <w:t xml:space="preserve"> المنصورة العام الجديد ، وزارة الصحة، مصر</w:t>
      </w:r>
      <w:r w:rsidRPr="00F70B04">
        <w:rPr>
          <w:rFonts w:ascii="Times New Roman" w:eastAsia="Calibri" w:hAnsi="Times New Roman" w:cs="Times New Roman" w:hint="cs"/>
          <w:sz w:val="24"/>
          <w:szCs w:val="24"/>
          <w:rtl/>
        </w:rPr>
        <w:t xml:space="preserve">. </w:t>
      </w:r>
    </w:p>
    <w:p w14:paraId="45DC9DF0" w14:textId="77777777" w:rsidR="00F70B04" w:rsidRPr="00F70B04" w:rsidRDefault="00F70B04" w:rsidP="00F70B04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sz w:val="8"/>
          <w:szCs w:val="8"/>
        </w:rPr>
      </w:pPr>
    </w:p>
    <w:p w14:paraId="3BA3DD06" w14:textId="77777777" w:rsidR="00F70B04" w:rsidRPr="00F70B04" w:rsidRDefault="00F70B04" w:rsidP="00F70B04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</w:p>
    <w:p w14:paraId="18630B0B" w14:textId="77777777" w:rsidR="00F70B04" w:rsidRPr="00F70B04" w:rsidRDefault="00F70B04" w:rsidP="00F70B04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  <w:rtl/>
          <w:lang w:bidi="ar-EG"/>
        </w:rPr>
      </w:pPr>
      <w:r w:rsidRPr="00F70B04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المؤلف المراسل: </w:t>
      </w:r>
      <w:r w:rsidRPr="00F70B04">
        <w:rPr>
          <w:rFonts w:ascii="Times New Roman" w:eastAsia="Calibri" w:hAnsi="Times New Roman" w:cs="Times New Roman" w:hint="cs"/>
          <w:b/>
          <w:bCs/>
          <w:sz w:val="20"/>
          <w:szCs w:val="20"/>
          <w:rtl/>
          <w:lang w:bidi="ar-EG"/>
        </w:rPr>
        <w:t>محمد الجبالي أحمد الهادي</w:t>
      </w:r>
    </w:p>
    <w:p w14:paraId="2AAB7300" w14:textId="77777777" w:rsidR="00F70B04" w:rsidRPr="00F70B04" w:rsidRDefault="00F70B04" w:rsidP="00F70B04">
      <w:pPr>
        <w:widowControl w:val="0"/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70B04">
        <w:rPr>
          <w:rFonts w:ascii="Times New Roman" w:eastAsia="Calibri" w:hAnsi="Times New Roman" w:cs="Times New Roman"/>
          <w:b/>
          <w:bCs/>
          <w:sz w:val="20"/>
          <w:szCs w:val="20"/>
          <w:rtl/>
        </w:rPr>
        <w:t xml:space="preserve">البريد الالكتروني: </w:t>
      </w:r>
      <w:r w:rsidRPr="00F70B04">
        <w:rPr>
          <w:rFonts w:ascii="Times New Roman" w:eastAsia="Calibri" w:hAnsi="Times New Roman" w:cs="Times New Roman" w:hint="cs"/>
          <w:b/>
          <w:bCs/>
          <w:sz w:val="20"/>
          <w:szCs w:val="20"/>
          <w:rtl/>
        </w:rPr>
        <w:t xml:space="preserve"> </w:t>
      </w:r>
      <w:r w:rsidRPr="00F70B04">
        <w:rPr>
          <w:rFonts w:ascii="Times New Roman" w:eastAsia="Calibri" w:hAnsi="Times New Roman" w:cs="Times New Roman"/>
          <w:b/>
          <w:bCs/>
          <w:sz w:val="20"/>
          <w:szCs w:val="20"/>
        </w:rPr>
        <w:t>m.gebali@domazhermedicine.edu.eg</w:t>
      </w:r>
    </w:p>
    <w:p w14:paraId="0E677DDA" w14:textId="77777777" w:rsidR="00F70B04" w:rsidRPr="00F70B04" w:rsidRDefault="00F70B04" w:rsidP="00F70B04">
      <w:pPr>
        <w:bidi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rtl/>
        </w:rPr>
      </w:pPr>
      <w:r w:rsidRPr="00F70B04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المعرف الرقمي للمقالة: </w:t>
      </w:r>
      <w:r w:rsidRPr="00F70B04">
        <w:rPr>
          <w:rFonts w:ascii="Times New Roman" w:eastAsia="Calibri" w:hAnsi="Times New Roman" w:cs="Times New Roman"/>
          <w:color w:val="2E74B5"/>
          <w:sz w:val="20"/>
          <w:szCs w:val="20"/>
        </w:rPr>
        <w:t>10.21608/ijma.2019.18702.1041</w:t>
      </w:r>
    </w:p>
    <w:p w14:paraId="3353C62C" w14:textId="77777777" w:rsidR="00F70B04" w:rsidRPr="00F70B04" w:rsidRDefault="00F70B04" w:rsidP="00F70B04">
      <w:pPr>
        <w:bidi/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F70B04">
        <w:rPr>
          <w:rFonts w:ascii="Times New Roman" w:eastAsia="Calibri" w:hAnsi="Times New Roman" w:cs="Times New Roman"/>
          <w:sz w:val="18"/>
          <w:szCs w:val="18"/>
          <w:rtl/>
        </w:rPr>
        <w:t xml:space="preserve">تاريخ الاستلام: </w:t>
      </w:r>
      <w:r w:rsidRPr="00F70B04">
        <w:rPr>
          <w:rFonts w:ascii="Times New Roman" w:eastAsia="Calibri" w:hAnsi="Times New Roman" w:cs="Times New Roman" w:hint="cs"/>
          <w:sz w:val="18"/>
          <w:szCs w:val="18"/>
          <w:rtl/>
        </w:rPr>
        <w:t xml:space="preserve">26- 10 </w:t>
      </w:r>
      <w:r w:rsidRPr="00F70B04">
        <w:rPr>
          <w:rFonts w:ascii="Times New Roman" w:eastAsia="Calibri" w:hAnsi="Times New Roman" w:cs="Times New Roman"/>
          <w:sz w:val="18"/>
          <w:szCs w:val="18"/>
          <w:rtl/>
        </w:rPr>
        <w:t>–</w:t>
      </w:r>
      <w:r w:rsidRPr="00F70B04">
        <w:rPr>
          <w:rFonts w:ascii="Times New Roman" w:eastAsia="Calibri" w:hAnsi="Times New Roman" w:cs="Times New Roman" w:hint="cs"/>
          <w:sz w:val="18"/>
          <w:szCs w:val="18"/>
          <w:rtl/>
        </w:rPr>
        <w:t xml:space="preserve"> 2019، تاريخ المراجعة: 9-11-2019، تاريخ القبول للنشر: 24- 11- 2019، تاريخ النشر علي الموقع الالكتروني: 24- 11-2019</w:t>
      </w:r>
    </w:p>
    <w:p w14:paraId="2FE665BE" w14:textId="77777777" w:rsidR="00F70B04" w:rsidRPr="00F70B04" w:rsidRDefault="00F70B04" w:rsidP="00F70B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34DA091C" w14:textId="77777777" w:rsidR="00F70B04" w:rsidRPr="00F70B04" w:rsidRDefault="00F70B04" w:rsidP="00F70B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0"/>
          <w:szCs w:val="20"/>
        </w:rPr>
      </w:pPr>
    </w:p>
    <w:p w14:paraId="2B9C3DE8" w14:textId="77777777" w:rsidR="00F70B04" w:rsidRPr="00F70B04" w:rsidRDefault="00F70B04" w:rsidP="00F70B04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color w:val="2E74B5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0"/>
      </w:tblGrid>
      <w:tr w:rsidR="00F70B04" w:rsidRPr="00F70B04" w14:paraId="62A86021" w14:textId="77777777" w:rsidTr="0054732C">
        <w:tc>
          <w:tcPr>
            <w:tcW w:w="5000" w:type="pct"/>
            <w:tcBorders>
              <w:top w:val="single" w:sz="24" w:space="0" w:color="385623"/>
              <w:left w:val="nil"/>
              <w:bottom w:val="single" w:sz="24" w:space="0" w:color="385623"/>
              <w:right w:val="nil"/>
            </w:tcBorders>
            <w:shd w:val="clear" w:color="auto" w:fill="auto"/>
          </w:tcPr>
          <w:p w14:paraId="23FFB2BE" w14:textId="77777777" w:rsidR="00F70B04" w:rsidRPr="00F70B04" w:rsidRDefault="00F70B04" w:rsidP="00F70B04">
            <w:pPr>
              <w:widowControl w:val="0"/>
              <w:spacing w:after="0" w:line="240" w:lineRule="auto"/>
              <w:ind w:left="1173" w:hanging="1173"/>
              <w:jc w:val="center"/>
              <w:rPr>
                <w:rFonts w:ascii="Times New Roman" w:eastAsia="Calibri" w:hAnsi="Times New Roman" w:cs="Times New Roman"/>
                <w:b/>
                <w:bCs/>
                <w:rtl/>
              </w:rPr>
            </w:pPr>
            <w:r w:rsidRPr="00F70B04">
              <w:rPr>
                <w:rFonts w:ascii="Times New Roman" w:eastAsia="Calibri" w:hAnsi="Times New Roman" w:cs="Times New Roman" w:hint="cs"/>
                <w:b/>
                <w:bCs/>
                <w:rtl/>
              </w:rPr>
              <w:t>الملخص باللغة العربية</w:t>
            </w:r>
          </w:p>
          <w:p w14:paraId="2378E51D" w14:textId="77777777" w:rsidR="00F70B04" w:rsidRPr="00F70B04" w:rsidRDefault="00F70B04" w:rsidP="00F70B0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rtl/>
              </w:rPr>
            </w:pPr>
            <w:r w:rsidRPr="00F70B04">
              <w:rPr>
                <w:rFonts w:ascii="Times New Roman" w:eastAsia="Calibri" w:hAnsi="Times New Roman" w:cs="Times New Roman" w:hint="cs"/>
                <w:b/>
                <w:bCs/>
                <w:rtl/>
              </w:rPr>
              <w:t xml:space="preserve">المقدمة: 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اكتسب نهج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فغر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البطين الثالث بالمنظار شعبية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مقارنة بإجراء تحويل (</w:t>
            </w:r>
            <w:r w:rsidRPr="00F70B04">
              <w:rPr>
                <w:rFonts w:ascii="Times New Roman" w:eastAsia="Calibri" w:hAnsi="Times New Roman" w:cs="Times New Roman"/>
              </w:rPr>
              <w:t>shunt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)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</w:t>
            </w:r>
            <w:r w:rsidRPr="00F70B04">
              <w:rPr>
                <w:rFonts w:ascii="Times New Roman" w:eastAsia="Calibri" w:hAnsi="Times New Roman" w:cs="Times New Roman" w:hint="cs"/>
                <w:rtl/>
                <w:lang w:bidi="ar-EG"/>
              </w:rPr>
              <w:t xml:space="preserve">في علاج 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استسقاء الرأس الانسدادي.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ولكن 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يظل تقييم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فغر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البطين الثالث بالمنظار بعد العملية الجراحية ومتابعة المرضى مسألة مثيرة للجدل والتحدي لضمان كفاءة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واستمرار تدفق السائل من الفتحة داخل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البطين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.</w:t>
            </w:r>
          </w:p>
          <w:p w14:paraId="6FFA44F3" w14:textId="77777777" w:rsidR="00F70B04" w:rsidRPr="00F70B04" w:rsidRDefault="00F70B04" w:rsidP="00F70B0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rtl/>
              </w:rPr>
            </w:pPr>
            <w:r w:rsidRPr="00F70B04">
              <w:rPr>
                <w:rFonts w:ascii="Times New Roman" w:eastAsia="Calibri" w:hAnsi="Times New Roman" w:cs="Times New Roman" w:hint="cs"/>
                <w:b/>
                <w:bCs/>
                <w:rtl/>
              </w:rPr>
              <w:t>الهدف من الدراسة: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  </w:t>
            </w:r>
            <w:r w:rsidRPr="00F70B04">
              <w:rPr>
                <w:rFonts w:ascii="Times New Roman" w:eastAsia="Calibri" w:hAnsi="Times New Roman" w:cs="Times New Roman"/>
                <w:rtl/>
              </w:rPr>
              <w:t>تقييم ما إذا كان يتم استعادة تدفق السائل النخاعي (</w:t>
            </w:r>
            <w:r w:rsidRPr="00F70B04">
              <w:rPr>
                <w:rFonts w:ascii="Times New Roman" w:eastAsia="Calibri" w:hAnsi="Times New Roman" w:cs="Times New Roman"/>
              </w:rPr>
              <w:t>CSF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) بعد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فغر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البطين الثالث بالمنظار والتشابه مع التدفق في قناة طبيعية مع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 تقييم الحالة السريرية ل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لمرضى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و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التغيرات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 في </w:t>
            </w:r>
            <w:r w:rsidRPr="00F70B04">
              <w:rPr>
                <w:rFonts w:ascii="Times New Roman" w:eastAsia="Calibri" w:hAnsi="Times New Roman" w:cs="Times New Roman"/>
                <w:rtl/>
              </w:rPr>
              <w:t>حجم البطين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.</w:t>
            </w:r>
          </w:p>
          <w:p w14:paraId="6F34200D" w14:textId="77777777" w:rsidR="00F70B04" w:rsidRPr="00F70B04" w:rsidRDefault="00F70B04" w:rsidP="00F70B0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rtl/>
              </w:rPr>
            </w:pPr>
            <w:r w:rsidRPr="00F70B04">
              <w:rPr>
                <w:rFonts w:ascii="Times New Roman" w:eastAsia="Calibri" w:hAnsi="Times New Roman" w:cs="Times New Roman" w:hint="cs"/>
                <w:b/>
                <w:bCs/>
                <w:rtl/>
              </w:rPr>
              <w:t>المرضي وطرق البحث: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 في الفترة من أبريل 2016 إلي أبريل 2019، تم علاج 30 مريضا، يعانون من استسقاء بالدماغ نتيجة ضيق القناة المائية. وتم العلاج باستخدام 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نهج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فغر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البطين الثالث بالمنظار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. وقد تم متابعة المرضي عند شهر، 6 و 9 أشهر بعد الجراحة. وتمت مقارنة النتائج مع 22 من الأصحاء كمجموعة ضابطة (لديهم تدفق طبيعي للسائل النخاعي بالقناة المائية) باستخدام التصوير بالرنين المغناطيسي ذو التباين المرحلي.</w:t>
            </w:r>
          </w:p>
          <w:p w14:paraId="3DBE83A4" w14:textId="77777777" w:rsidR="00F70B04" w:rsidRPr="00F70B04" w:rsidRDefault="00F70B04" w:rsidP="00F70B0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  <w:rtl/>
              </w:rPr>
            </w:pPr>
            <w:r w:rsidRPr="00F70B04">
              <w:rPr>
                <w:rFonts w:ascii="Times New Roman" w:eastAsia="Calibri" w:hAnsi="Times New Roman" w:cs="Times New Roman" w:hint="cs"/>
                <w:b/>
                <w:bCs/>
                <w:rtl/>
              </w:rPr>
              <w:t>النتائج: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  است</w:t>
            </w:r>
            <w:r w:rsidRPr="00F70B04">
              <w:rPr>
                <w:rFonts w:ascii="Times New Roman" w:eastAsia="Calibri" w:hAnsi="Times New Roman" w:cs="Times New Roman"/>
                <w:rtl/>
              </w:rPr>
              <w:t>عاد ثلاثة وعشرون (23) مريضاً النمط ثنائي الاتجاه النابض لتدفق السائل النخاعي عبر فغر البطين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، كما يتدفق في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القناة المائية. بينما لم يكن لدى مريض واحد أي تدفق خلال المتابعة الأولى وأظهر 6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من ال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مرضى تدفق نابض أولي ثم أصيبوا باضطراب في التدفق خلال فترة المتابعة الثانية. وأظهرت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ال</w:t>
            </w:r>
            <w:r w:rsidRPr="00F70B04">
              <w:rPr>
                <w:rFonts w:ascii="Times New Roman" w:eastAsia="Calibri" w:hAnsi="Times New Roman" w:cs="Times New Roman"/>
                <w:rtl/>
              </w:rPr>
              <w:t>قيم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 المطلقة ل</w:t>
            </w:r>
            <w:r w:rsidRPr="00F70B04">
              <w:rPr>
                <w:rFonts w:ascii="Times New Roman" w:eastAsia="Calibri" w:hAnsi="Times New Roman" w:cs="Times New Roman"/>
                <w:rtl/>
              </w:rPr>
              <w:t>حجم السكتة الدماغية فرق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ا ذا دلالة إحصائية بين مجموعة فغر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البطين الثالث بالمنظار و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ال</w:t>
            </w:r>
            <w:r w:rsidRPr="00F70B04">
              <w:rPr>
                <w:rFonts w:ascii="Times New Roman" w:eastAsia="Calibri" w:hAnsi="Times New Roman" w:cs="Times New Roman"/>
                <w:rtl/>
              </w:rPr>
              <w:t>مجموع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ة الحاكمة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. أظهرت قيمة 85 ميكرولتر 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(كنقطة قطع لقياس كفاءة استئصال البطين الثالث بالمنظار) </w:t>
            </w:r>
            <w:r w:rsidRPr="00F70B04">
              <w:rPr>
                <w:rFonts w:ascii="Times New Roman" w:eastAsia="Calibri" w:hAnsi="Times New Roman" w:cs="Times New Roman"/>
                <w:rtl/>
              </w:rPr>
              <w:t>حساسية وخصوصية 84.3 ٪ و 81.7 ٪ ، على التوالي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>.</w:t>
            </w:r>
          </w:p>
          <w:p w14:paraId="50CCFA3A" w14:textId="77777777" w:rsidR="00F70B04" w:rsidRPr="00F70B04" w:rsidRDefault="00F70B04" w:rsidP="00F70B04">
            <w:pPr>
              <w:widowControl w:val="0"/>
              <w:bidi/>
              <w:spacing w:after="0" w:line="240" w:lineRule="auto"/>
              <w:ind w:left="1173" w:hanging="1173"/>
              <w:jc w:val="both"/>
              <w:rPr>
                <w:rFonts w:ascii="Times New Roman" w:eastAsia="Calibri" w:hAnsi="Times New Roman" w:cs="Times New Roman"/>
              </w:rPr>
            </w:pPr>
            <w:r w:rsidRPr="00F70B04">
              <w:rPr>
                <w:rFonts w:ascii="Times New Roman" w:eastAsia="Calibri" w:hAnsi="Times New Roman" w:cs="Times New Roman" w:hint="cs"/>
                <w:b/>
                <w:bCs/>
                <w:rtl/>
              </w:rPr>
              <w:t>الخلاصة: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 يعد فغر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البطين الثالث بالمنظار تقنية فعالة لاستعادة تدفق السائل النخاعي النبضي الفسيولوجي. وكان حجم السكتة الدماغية المطلقة مؤشرا جيدا لكفاءة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 فغر</w:t>
            </w:r>
            <w:r w:rsidRPr="00F70B04">
              <w:rPr>
                <w:rFonts w:ascii="Times New Roman" w:eastAsia="Calibri" w:hAnsi="Times New Roman" w:cs="Times New Roman"/>
                <w:rtl/>
              </w:rPr>
              <w:t xml:space="preserve"> البطين الثالث بالمنظار</w:t>
            </w:r>
            <w:r w:rsidRPr="00F70B04">
              <w:rPr>
                <w:rFonts w:ascii="Times New Roman" w:eastAsia="Calibri" w:hAnsi="Times New Roman" w:cs="Times New Roman" w:hint="cs"/>
                <w:rtl/>
              </w:rPr>
              <w:t xml:space="preserve">. </w:t>
            </w:r>
            <w:r w:rsidRPr="00F70B04">
              <w:rPr>
                <w:rFonts w:ascii="Times New Roman" w:eastAsia="Calibri" w:hAnsi="Times New Roman" w:cs="Times New Roman"/>
              </w:rPr>
              <w:t xml:space="preserve"> </w:t>
            </w:r>
          </w:p>
        </w:tc>
      </w:tr>
    </w:tbl>
    <w:p w14:paraId="707CC2C1" w14:textId="77777777" w:rsidR="00F70B04" w:rsidRPr="00F70B04" w:rsidRDefault="00F70B04" w:rsidP="00F70B04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10"/>
          <w:szCs w:val="10"/>
        </w:rPr>
      </w:pPr>
    </w:p>
    <w:p w14:paraId="7D484E1C" w14:textId="77777777" w:rsidR="00F70B04" w:rsidRPr="00F70B04" w:rsidRDefault="00F70B04" w:rsidP="00F70B04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</w:rPr>
      </w:pPr>
    </w:p>
    <w:p w14:paraId="59E98CDE" w14:textId="77777777" w:rsidR="00F70B04" w:rsidRPr="00F70B04" w:rsidRDefault="00F70B04" w:rsidP="00F70B04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b/>
          <w:bCs/>
          <w:sz w:val="24"/>
          <w:szCs w:val="24"/>
          <w:rtl/>
          <w:lang w:bidi="ar-EG"/>
        </w:rPr>
      </w:pPr>
      <w:r w:rsidRPr="00F70B04">
        <w:rPr>
          <w:rFonts w:ascii="Times New Roman" w:eastAsia="Calibri" w:hAnsi="Times New Roman" w:cs="Times New Roman"/>
          <w:b/>
          <w:bCs/>
          <w:sz w:val="24"/>
          <w:szCs w:val="24"/>
          <w:rtl/>
        </w:rPr>
        <w:t xml:space="preserve">الكلمات المفتاحية: </w:t>
      </w:r>
      <w:r w:rsidRPr="00F70B04">
        <w:rPr>
          <w:rFonts w:ascii="Times New Roman" w:eastAsia="Calibri" w:hAnsi="Times New Roman" w:cs="Times New Roman" w:hint="cs"/>
          <w:b/>
          <w:bCs/>
          <w:sz w:val="24"/>
          <w:szCs w:val="24"/>
          <w:rtl/>
        </w:rPr>
        <w:t xml:space="preserve">بالمنظار، فغر البطين، ضيق القناة المائية، السائل النخاعي، قياس التدفق. </w:t>
      </w:r>
    </w:p>
    <w:p w14:paraId="6FCE14DC" w14:textId="77777777" w:rsidR="00F70B04" w:rsidRPr="00F70B04" w:rsidRDefault="00F70B04" w:rsidP="00F70B04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0"/>
          <w:szCs w:val="20"/>
          <w:lang w:bidi="ar-EG"/>
        </w:rPr>
      </w:pPr>
      <w:r w:rsidRPr="00F70B04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>هذه مقالة مفتوحة المصدر تحت رخصة المشاع الإبداعي (</w:t>
      </w:r>
      <w:r w:rsidRPr="00F70B04">
        <w:rPr>
          <w:rFonts w:ascii="Times New Roman" w:eastAsia="Calibri" w:hAnsi="Times New Roman" w:cs="Times New Roman"/>
          <w:sz w:val="20"/>
          <w:szCs w:val="20"/>
          <w:lang w:bidi="ar-EG"/>
        </w:rPr>
        <w:t>CC BY</w:t>
      </w:r>
      <w:r w:rsidRPr="00F70B04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) </w:t>
      </w:r>
      <w:r w:rsidRPr="00F70B04">
        <w:rPr>
          <w:rFonts w:ascii="Times New Roman" w:eastAsia="Calibri" w:hAnsi="Times New Roman" w:cs="Times New Roman" w:hint="cs"/>
          <w:sz w:val="20"/>
          <w:szCs w:val="20"/>
          <w:rtl/>
          <w:lang w:bidi="ar-EG"/>
        </w:rPr>
        <w:t>الاصدار الثاني</w:t>
      </w:r>
      <w:r w:rsidRPr="00F70B04">
        <w:rPr>
          <w:rFonts w:ascii="Times New Roman" w:eastAsia="Calibri" w:hAnsi="Times New Roman" w:cs="Times New Roman"/>
          <w:sz w:val="20"/>
          <w:szCs w:val="20"/>
          <w:rtl/>
          <w:lang w:bidi="ar-EG"/>
        </w:rPr>
        <w:t xml:space="preserve"> </w:t>
      </w:r>
      <w:r w:rsidRPr="00F70B04">
        <w:rPr>
          <w:rFonts w:ascii="Times New Roman" w:eastAsia="Calibri" w:hAnsi="Times New Roman" w:cs="Times New Roman"/>
          <w:sz w:val="20"/>
          <w:szCs w:val="20"/>
          <w:lang w:bidi="ar-EG"/>
        </w:rPr>
        <w:t>[https://creativecommons.org/licenses/by/2.0/]</w:t>
      </w:r>
    </w:p>
    <w:p w14:paraId="5003318F" w14:textId="77777777" w:rsidR="00F70B04" w:rsidRPr="00F70B04" w:rsidRDefault="00F70B04" w:rsidP="00F70B04">
      <w:pPr>
        <w:widowControl w:val="0"/>
        <w:bidi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24"/>
          <w:szCs w:val="24"/>
          <w:lang w:bidi="ar-EG"/>
        </w:rPr>
      </w:pPr>
    </w:p>
    <w:p w14:paraId="25911BAF" w14:textId="77777777" w:rsidR="00F70B04" w:rsidRPr="00F70B04" w:rsidRDefault="00F70B04" w:rsidP="00F70B04">
      <w:pPr>
        <w:widowControl w:val="0"/>
        <w:spacing w:after="0" w:line="240" w:lineRule="auto"/>
        <w:ind w:left="597" w:hanging="597"/>
        <w:jc w:val="both"/>
        <w:rPr>
          <w:rFonts w:ascii="Times New Roman" w:eastAsia="Calibri" w:hAnsi="Times New Roman" w:cs="Times New Roman"/>
          <w:sz w:val="8"/>
          <w:szCs w:val="8"/>
        </w:rPr>
      </w:pPr>
    </w:p>
    <w:p w14:paraId="504DD9D0" w14:textId="77777777" w:rsidR="00EB301A" w:rsidRDefault="00EB301A"/>
    <w:sectPr w:rsidR="00EB30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04"/>
    <w:rsid w:val="005B7681"/>
    <w:rsid w:val="009E5869"/>
    <w:rsid w:val="00EB301A"/>
    <w:rsid w:val="00F70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51D168"/>
  <w15:chartTrackingRefBased/>
  <w15:docId w15:val="{8A6F38ED-2EBE-4DDD-A210-BD6A5676D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2212</Characters>
  <Application>Microsoft Office Word</Application>
  <DocSecurity>0</DocSecurity>
  <Lines>18</Lines>
  <Paragraphs>5</Paragraphs>
  <ScaleCrop>false</ScaleCrop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Mahmoud</dc:creator>
  <cp:keywords/>
  <dc:description/>
  <cp:lastModifiedBy>Dr Mahmoud</cp:lastModifiedBy>
  <cp:revision>1</cp:revision>
  <dcterms:created xsi:type="dcterms:W3CDTF">2020-02-09T21:36:00Z</dcterms:created>
  <dcterms:modified xsi:type="dcterms:W3CDTF">2020-02-09T21:36:00Z</dcterms:modified>
</cp:coreProperties>
</file>