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CBEB9" w14:textId="77777777" w:rsidR="00F16CCB" w:rsidRPr="00F16CCB" w:rsidRDefault="00F16CCB" w:rsidP="00F16CCB">
      <w:pPr>
        <w:widowControl w:val="0"/>
        <w:bidi/>
        <w:spacing w:after="0" w:line="240" w:lineRule="auto"/>
        <w:jc w:val="both"/>
        <w:rPr>
          <w:rFonts w:ascii="Times New Roman" w:eastAsia="Calibri" w:hAnsi="Times New Roman" w:cs="Times New Roman"/>
          <w:b/>
          <w:bCs/>
          <w:sz w:val="24"/>
          <w:szCs w:val="24"/>
          <w:rtl/>
        </w:rPr>
      </w:pPr>
      <w:r w:rsidRPr="00F16CCB">
        <w:rPr>
          <w:rFonts w:ascii="Times New Roman" w:eastAsia="Calibri" w:hAnsi="Times New Roman" w:cs="Times New Roman"/>
          <w:b/>
          <w:bCs/>
          <w:sz w:val="24"/>
          <w:szCs w:val="24"/>
          <w:rtl/>
        </w:rPr>
        <w:t xml:space="preserve">المجلة الدولية </w:t>
      </w:r>
      <w:bookmarkStart w:id="0" w:name="_GoBack"/>
      <w:bookmarkEnd w:id="0"/>
      <w:r w:rsidRPr="00F16CCB">
        <w:rPr>
          <w:rFonts w:ascii="Times New Roman" w:eastAsia="Calibri" w:hAnsi="Times New Roman" w:cs="Times New Roman"/>
          <w:b/>
          <w:bCs/>
          <w:sz w:val="24"/>
          <w:szCs w:val="24"/>
          <w:rtl/>
        </w:rPr>
        <w:t xml:space="preserve">للفنون الطبية، المجلد الثاني، العدد الأول، يناير 2020، الصفحات 199- 203. </w:t>
      </w:r>
    </w:p>
    <w:tbl>
      <w:tblPr>
        <w:tblW w:w="5000" w:type="pct"/>
        <w:tblBorders>
          <w:top w:val="thinThickSmallGap" w:sz="24" w:space="0" w:color="538135"/>
          <w:bottom w:val="thinThickSmallGap" w:sz="24" w:space="0" w:color="538135"/>
        </w:tblBorders>
        <w:tblLook w:val="04A0" w:firstRow="1" w:lastRow="0" w:firstColumn="1" w:lastColumn="0" w:noHBand="0" w:noVBand="1"/>
      </w:tblPr>
      <w:tblGrid>
        <w:gridCol w:w="1937"/>
        <w:gridCol w:w="5592"/>
        <w:gridCol w:w="1831"/>
      </w:tblGrid>
      <w:tr w:rsidR="00F16CCB" w:rsidRPr="00F16CCB" w14:paraId="5A99AFEA" w14:textId="77777777" w:rsidTr="0054732C">
        <w:trPr>
          <w:trHeight w:val="1961"/>
        </w:trPr>
        <w:tc>
          <w:tcPr>
            <w:tcW w:w="1035" w:type="pct"/>
            <w:shd w:val="clear" w:color="auto" w:fill="auto"/>
            <w:vAlign w:val="center"/>
          </w:tcPr>
          <w:p w14:paraId="266D93F4" w14:textId="77777777" w:rsidR="00F16CCB" w:rsidRPr="00F16CCB" w:rsidRDefault="00F16CCB" w:rsidP="00F16CCB">
            <w:pPr>
              <w:widowControl w:val="0"/>
              <w:spacing w:after="0" w:line="240" w:lineRule="auto"/>
              <w:jc w:val="center"/>
              <w:rPr>
                <w:rFonts w:ascii="Times New Roman" w:eastAsia="Calibri" w:hAnsi="Times New Roman" w:cs="Times New Roman"/>
                <w:sz w:val="24"/>
                <w:szCs w:val="24"/>
              </w:rPr>
            </w:pPr>
            <w:r w:rsidRPr="00F16CCB">
              <w:rPr>
                <w:rFonts w:ascii="Times New Roman" w:eastAsia="Calibri" w:hAnsi="Times New Roman" w:cs="Times New Roman"/>
                <w:noProof/>
                <w:sz w:val="24"/>
                <w:szCs w:val="24"/>
              </w:rPr>
              <w:drawing>
                <wp:inline distT="0" distB="0" distL="0" distR="0" wp14:anchorId="4B7A3DDF" wp14:editId="2BA47160">
                  <wp:extent cx="1054735" cy="1123627"/>
                  <wp:effectExtent l="0" t="0" r="0" b="635"/>
                  <wp:docPr id="22" name="Picture 1" descr="F:\IJMA-2019\covers\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MA-2019\covers\11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5113" cy="1134683"/>
                          </a:xfrm>
                          <a:prstGeom prst="rect">
                            <a:avLst/>
                          </a:prstGeom>
                          <a:noFill/>
                          <a:ln>
                            <a:noFill/>
                          </a:ln>
                        </pic:spPr>
                      </pic:pic>
                    </a:graphicData>
                  </a:graphic>
                </wp:inline>
              </w:drawing>
            </w:r>
          </w:p>
        </w:tc>
        <w:tc>
          <w:tcPr>
            <w:tcW w:w="2987" w:type="pct"/>
            <w:shd w:val="clear" w:color="auto" w:fill="auto"/>
          </w:tcPr>
          <w:p w14:paraId="54D1BBD3" w14:textId="77777777" w:rsidR="00F16CCB" w:rsidRPr="00F16CCB" w:rsidRDefault="00F16CCB" w:rsidP="00F16CCB">
            <w:pPr>
              <w:widowControl w:val="0"/>
              <w:spacing w:after="0" w:line="240" w:lineRule="auto"/>
              <w:jc w:val="both"/>
              <w:rPr>
                <w:rFonts w:ascii="Times New Roman" w:eastAsia="Calibri" w:hAnsi="Times New Roman" w:cs="Times New Roman"/>
                <w:sz w:val="24"/>
                <w:szCs w:val="24"/>
              </w:rPr>
            </w:pPr>
          </w:p>
          <w:p w14:paraId="0D1F72BC" w14:textId="77777777" w:rsidR="00F16CCB" w:rsidRPr="00F16CCB" w:rsidRDefault="00F16CCB" w:rsidP="00F16CCB">
            <w:pPr>
              <w:widowControl w:val="0"/>
              <w:spacing w:after="0" w:line="240" w:lineRule="auto"/>
              <w:jc w:val="center"/>
              <w:rPr>
                <w:rFonts w:ascii="Times New Roman" w:eastAsia="Calibri" w:hAnsi="Times New Roman" w:cs="Times New Roman"/>
                <w:sz w:val="24"/>
                <w:szCs w:val="24"/>
                <w:rtl/>
                <w:lang w:bidi="ar-EG"/>
              </w:rPr>
            </w:pPr>
            <w:r w:rsidRPr="00F16CCB">
              <w:rPr>
                <w:rFonts w:ascii="Times New Roman" w:eastAsia="Calibri" w:hAnsi="Times New Roman" w:cs="Times New Roman"/>
                <w:sz w:val="24"/>
                <w:szCs w:val="24"/>
                <w:rtl/>
                <w:lang w:bidi="ar-EG"/>
              </w:rPr>
              <w:t xml:space="preserve">متاح علي الموقع الالكتروني للمجلة </w:t>
            </w:r>
          </w:p>
          <w:p w14:paraId="0A814B0D" w14:textId="77777777" w:rsidR="00F16CCB" w:rsidRPr="00F16CCB" w:rsidRDefault="00F16CCB" w:rsidP="00F16CCB">
            <w:pPr>
              <w:widowControl w:val="0"/>
              <w:spacing w:after="0" w:line="240" w:lineRule="auto"/>
              <w:jc w:val="center"/>
              <w:rPr>
                <w:rFonts w:ascii="Times New Roman" w:eastAsia="Calibri" w:hAnsi="Times New Roman" w:cs="Times New Roman"/>
                <w:sz w:val="24"/>
                <w:szCs w:val="24"/>
              </w:rPr>
            </w:pPr>
            <w:r w:rsidRPr="00F16CCB">
              <w:rPr>
                <w:rFonts w:ascii="Times New Roman" w:eastAsia="Calibri" w:hAnsi="Times New Roman" w:cs="Times New Roman"/>
                <w:sz w:val="24"/>
                <w:szCs w:val="24"/>
              </w:rPr>
              <w:t>https://ijma.journals.ekb.eg/</w:t>
            </w:r>
          </w:p>
          <w:p w14:paraId="1D28E068" w14:textId="77777777" w:rsidR="00F16CCB" w:rsidRPr="00F16CCB" w:rsidRDefault="00F16CCB" w:rsidP="00F16CCB">
            <w:pPr>
              <w:widowControl w:val="0"/>
              <w:spacing w:after="0" w:line="240" w:lineRule="auto"/>
              <w:jc w:val="center"/>
              <w:rPr>
                <w:rFonts w:ascii="Times New Roman" w:eastAsia="Calibri" w:hAnsi="Times New Roman" w:cs="Times New Roman"/>
                <w:sz w:val="24"/>
                <w:szCs w:val="24"/>
              </w:rPr>
            </w:pPr>
          </w:p>
        </w:tc>
        <w:tc>
          <w:tcPr>
            <w:tcW w:w="978" w:type="pct"/>
            <w:shd w:val="clear" w:color="auto" w:fill="auto"/>
            <w:vAlign w:val="center"/>
          </w:tcPr>
          <w:p w14:paraId="4435AF7A" w14:textId="77777777" w:rsidR="00F16CCB" w:rsidRPr="00F16CCB" w:rsidRDefault="00F16CCB" w:rsidP="00F16CCB">
            <w:pPr>
              <w:widowControl w:val="0"/>
              <w:spacing w:after="0" w:line="240" w:lineRule="auto"/>
              <w:jc w:val="center"/>
              <w:rPr>
                <w:rFonts w:ascii="Times New Roman" w:eastAsia="Calibri" w:hAnsi="Times New Roman" w:cs="Times New Roman"/>
                <w:sz w:val="24"/>
                <w:szCs w:val="24"/>
              </w:rPr>
            </w:pPr>
            <w:r w:rsidRPr="00F16CCB">
              <w:rPr>
                <w:rFonts w:ascii="Times New Roman" w:eastAsia="Calibri" w:hAnsi="Times New Roman" w:cs="Times New Roman"/>
                <w:noProof/>
                <w:sz w:val="24"/>
                <w:szCs w:val="24"/>
              </w:rPr>
              <w:drawing>
                <wp:inline distT="0" distB="0" distL="0" distR="0" wp14:anchorId="5E9E2FCA" wp14:editId="759C2FE5">
                  <wp:extent cx="948582" cy="1162060"/>
                  <wp:effectExtent l="0" t="0" r="4445" b="0"/>
                  <wp:docPr id="23" name="Picture 23" descr="F:\IJMA-2019\imho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MA-2019\imhoteb.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978333" cy="1198506"/>
                          </a:xfrm>
                          <a:prstGeom prst="rect">
                            <a:avLst/>
                          </a:prstGeom>
                          <a:noFill/>
                          <a:ln>
                            <a:noFill/>
                          </a:ln>
                        </pic:spPr>
                      </pic:pic>
                    </a:graphicData>
                  </a:graphic>
                </wp:inline>
              </w:drawing>
            </w:r>
          </w:p>
        </w:tc>
      </w:tr>
    </w:tbl>
    <w:p w14:paraId="54FE809E" w14:textId="77777777" w:rsidR="00F16CCB" w:rsidRPr="00F16CCB" w:rsidRDefault="00F16CCB" w:rsidP="00F16CCB">
      <w:pPr>
        <w:widowControl w:val="0"/>
        <w:bidi/>
        <w:spacing w:after="0" w:line="240" w:lineRule="auto"/>
        <w:rPr>
          <w:rFonts w:ascii="Times New Roman" w:eastAsia="Calibri" w:hAnsi="Times New Roman" w:cs="Times New Roman"/>
          <w:b/>
          <w:bCs/>
          <w:color w:val="002060"/>
          <w:sz w:val="24"/>
          <w:szCs w:val="24"/>
        </w:rPr>
      </w:pPr>
      <w:r w:rsidRPr="00F16CCB">
        <w:rPr>
          <w:rFonts w:ascii="Times New Roman" w:eastAsia="Calibri" w:hAnsi="Times New Roman" w:cs="Times New Roman"/>
          <w:b/>
          <w:bCs/>
          <w:color w:val="002060"/>
          <w:sz w:val="24"/>
          <w:szCs w:val="24"/>
          <w:rtl/>
        </w:rPr>
        <w:t>مقالة أصيلة</w:t>
      </w:r>
    </w:p>
    <w:p w14:paraId="42991AB8" w14:textId="77777777" w:rsidR="00F16CCB" w:rsidRPr="00F16CCB" w:rsidRDefault="00F16CCB" w:rsidP="00F16CCB">
      <w:pPr>
        <w:widowControl w:val="0"/>
        <w:spacing w:after="0" w:line="240" w:lineRule="auto"/>
        <w:jc w:val="center"/>
        <w:rPr>
          <w:rFonts w:ascii="Times New Roman" w:eastAsia="Calibri" w:hAnsi="Times New Roman" w:cs="Times New Roman"/>
          <w:b/>
          <w:bCs/>
          <w:sz w:val="8"/>
          <w:szCs w:val="8"/>
        </w:rPr>
      </w:pPr>
    </w:p>
    <w:p w14:paraId="06A2DF36" w14:textId="77777777" w:rsidR="00F16CCB" w:rsidRPr="00F16CCB" w:rsidRDefault="00F16CCB" w:rsidP="00F16CCB">
      <w:pPr>
        <w:widowControl w:val="0"/>
        <w:spacing w:after="0" w:line="240" w:lineRule="auto"/>
        <w:jc w:val="center"/>
        <w:rPr>
          <w:rFonts w:ascii="Times New Roman" w:eastAsia="Calibri" w:hAnsi="Times New Roman" w:cs="Times New Roman"/>
          <w:b/>
          <w:bCs/>
          <w:sz w:val="24"/>
          <w:szCs w:val="24"/>
          <w:rtl/>
          <w:lang w:bidi="ar-EG"/>
        </w:rPr>
      </w:pPr>
      <w:r w:rsidRPr="00F16CCB">
        <w:rPr>
          <w:rFonts w:ascii="Times New Roman" w:eastAsia="Calibri" w:hAnsi="Times New Roman" w:cs="Times New Roman"/>
          <w:b/>
          <w:bCs/>
          <w:sz w:val="24"/>
          <w:szCs w:val="24"/>
          <w:rtl/>
          <w:lang w:bidi="ar-EG"/>
        </w:rPr>
        <w:t>تقرير</w:t>
      </w:r>
      <w:r w:rsidRPr="00F16CCB">
        <w:rPr>
          <w:rFonts w:ascii="Times New Roman" w:eastAsia="Calibri" w:hAnsi="Times New Roman" w:cs="Times New Roman"/>
          <w:b/>
          <w:bCs/>
          <w:sz w:val="24"/>
          <w:szCs w:val="24"/>
          <w:rtl/>
          <w:lang w:bidi="en-US"/>
        </w:rPr>
        <w:t xml:space="preserve"> </w:t>
      </w:r>
      <w:r w:rsidRPr="00F16CCB">
        <w:rPr>
          <w:rFonts w:ascii="Times New Roman" w:eastAsia="Calibri" w:hAnsi="Times New Roman" w:cs="Times New Roman"/>
          <w:b/>
          <w:bCs/>
          <w:sz w:val="24"/>
          <w:szCs w:val="24"/>
          <w:rtl/>
          <w:lang w:bidi="ar-EG"/>
        </w:rPr>
        <w:t>حالة</w:t>
      </w:r>
      <w:r w:rsidRPr="00F16CCB">
        <w:rPr>
          <w:rFonts w:ascii="Times New Roman" w:eastAsia="Calibri" w:hAnsi="Times New Roman" w:cs="Times New Roman"/>
          <w:b/>
          <w:bCs/>
          <w:sz w:val="24"/>
          <w:szCs w:val="24"/>
          <w:rtl/>
          <w:lang w:bidi="en-US"/>
        </w:rPr>
        <w:t xml:space="preserve">: </w:t>
      </w:r>
      <w:r w:rsidRPr="00F16CCB">
        <w:rPr>
          <w:rFonts w:ascii="Times New Roman" w:eastAsia="Calibri" w:hAnsi="Times New Roman" w:cs="Times New Roman" w:hint="cs"/>
          <w:b/>
          <w:bCs/>
          <w:sz w:val="24"/>
          <w:szCs w:val="24"/>
          <w:rtl/>
        </w:rPr>
        <w:t>طفلة لديها ورم لحمي بالأمعاء الدقيقة  من النوع الذي يصيب الكبار</w:t>
      </w:r>
    </w:p>
    <w:p w14:paraId="3159D058" w14:textId="77777777" w:rsidR="00F16CCB" w:rsidRPr="00F16CCB" w:rsidRDefault="00F16CCB" w:rsidP="00F16CCB">
      <w:pPr>
        <w:widowControl w:val="0"/>
        <w:spacing w:after="0" w:line="240" w:lineRule="auto"/>
        <w:jc w:val="center"/>
        <w:rPr>
          <w:rFonts w:ascii="Times New Roman" w:eastAsia="Calibri" w:hAnsi="Times New Roman" w:cs="Times New Roman"/>
          <w:b/>
          <w:bCs/>
          <w:sz w:val="24"/>
          <w:szCs w:val="24"/>
          <w:rtl/>
          <w:lang w:bidi="ar-EG"/>
        </w:rPr>
      </w:pPr>
      <w:r w:rsidRPr="00F16CCB">
        <w:rPr>
          <w:rFonts w:ascii="Times New Roman" w:eastAsia="Calibri" w:hAnsi="Times New Roman" w:cs="Times New Roman" w:hint="cs"/>
          <w:b/>
          <w:bCs/>
          <w:sz w:val="24"/>
          <w:szCs w:val="24"/>
          <w:rtl/>
          <w:lang w:bidi="ar-EG"/>
        </w:rPr>
        <w:t xml:space="preserve">عبدالمحسن عبدالله السويغ    </w:t>
      </w:r>
    </w:p>
    <w:p w14:paraId="5D9A7C82" w14:textId="77777777" w:rsidR="00F16CCB" w:rsidRPr="00F16CCB" w:rsidRDefault="00F16CCB" w:rsidP="00F16CCB">
      <w:pPr>
        <w:widowControl w:val="0"/>
        <w:bidi/>
        <w:spacing w:after="0" w:line="240" w:lineRule="auto"/>
        <w:rPr>
          <w:rFonts w:ascii="Times New Roman" w:eastAsia="Calibri" w:hAnsi="Times New Roman" w:cs="Times New Roman"/>
          <w:b/>
          <w:bCs/>
          <w:sz w:val="24"/>
          <w:szCs w:val="24"/>
          <w:rtl/>
          <w:lang w:bidi="en-US"/>
        </w:rPr>
      </w:pPr>
      <w:r w:rsidRPr="00F16CCB">
        <w:rPr>
          <w:rFonts w:ascii="Times New Roman" w:eastAsia="Calibri" w:hAnsi="Times New Roman" w:cs="Times New Roman"/>
          <w:b/>
          <w:bCs/>
          <w:sz w:val="24"/>
          <w:szCs w:val="24"/>
          <w:rtl/>
        </w:rPr>
        <w:t>استشار</w:t>
      </w:r>
      <w:r w:rsidRPr="00F16CCB">
        <w:rPr>
          <w:rFonts w:ascii="Times New Roman" w:eastAsia="Calibri" w:hAnsi="Times New Roman" w:cs="Times New Roman" w:hint="cs"/>
          <w:b/>
          <w:bCs/>
          <w:sz w:val="24"/>
          <w:szCs w:val="24"/>
          <w:rtl/>
        </w:rPr>
        <w:t>ي</w:t>
      </w:r>
      <w:r w:rsidRPr="00F16CCB">
        <w:rPr>
          <w:rFonts w:ascii="Times New Roman" w:eastAsia="Calibri" w:hAnsi="Times New Roman" w:cs="Times New Roman"/>
          <w:b/>
          <w:bCs/>
          <w:sz w:val="24"/>
          <w:szCs w:val="24"/>
          <w:rtl/>
        </w:rPr>
        <w:t xml:space="preserve"> </w:t>
      </w:r>
      <w:r w:rsidRPr="00F16CCB">
        <w:rPr>
          <w:rFonts w:ascii="Times New Roman" w:eastAsia="Calibri" w:hAnsi="Times New Roman" w:cs="Times New Roman" w:hint="cs"/>
          <w:b/>
          <w:bCs/>
          <w:sz w:val="24"/>
          <w:szCs w:val="24"/>
          <w:rtl/>
        </w:rPr>
        <w:t>ال</w:t>
      </w:r>
      <w:r w:rsidRPr="00F16CCB">
        <w:rPr>
          <w:rFonts w:ascii="Times New Roman" w:eastAsia="Calibri" w:hAnsi="Times New Roman" w:cs="Times New Roman"/>
          <w:b/>
          <w:bCs/>
          <w:sz w:val="24"/>
          <w:szCs w:val="24"/>
          <w:rtl/>
        </w:rPr>
        <w:t>جراحة</w:t>
      </w:r>
      <w:r w:rsidRPr="00F16CCB">
        <w:rPr>
          <w:rFonts w:ascii="Times New Roman" w:eastAsia="Calibri" w:hAnsi="Times New Roman" w:cs="Times New Roman" w:hint="cs"/>
          <w:b/>
          <w:bCs/>
          <w:sz w:val="24"/>
          <w:szCs w:val="24"/>
          <w:rtl/>
        </w:rPr>
        <w:t xml:space="preserve"> بالمناظير </w:t>
      </w:r>
      <w:r w:rsidRPr="00F16CCB">
        <w:rPr>
          <w:rFonts w:ascii="Times New Roman" w:eastAsia="Calibri" w:hAnsi="Times New Roman" w:cs="Times New Roman"/>
          <w:b/>
          <w:bCs/>
          <w:sz w:val="24"/>
          <w:szCs w:val="24"/>
          <w:rtl/>
        </w:rPr>
        <w:t>وجراح</w:t>
      </w:r>
      <w:r w:rsidRPr="00F16CCB">
        <w:rPr>
          <w:rFonts w:ascii="Times New Roman" w:eastAsia="Calibri" w:hAnsi="Times New Roman" w:cs="Times New Roman" w:hint="cs"/>
          <w:b/>
          <w:bCs/>
          <w:sz w:val="24"/>
          <w:szCs w:val="24"/>
          <w:rtl/>
        </w:rPr>
        <w:t>ات</w:t>
      </w:r>
      <w:r w:rsidRPr="00F16CCB">
        <w:rPr>
          <w:rFonts w:ascii="Times New Roman" w:eastAsia="Calibri" w:hAnsi="Times New Roman" w:cs="Times New Roman"/>
          <w:b/>
          <w:bCs/>
          <w:sz w:val="24"/>
          <w:szCs w:val="24"/>
          <w:rtl/>
        </w:rPr>
        <w:t xml:space="preserve"> السمنة</w:t>
      </w:r>
      <w:r w:rsidRPr="00F16CCB">
        <w:rPr>
          <w:rFonts w:ascii="Times New Roman" w:eastAsia="Calibri" w:hAnsi="Times New Roman" w:cs="Times New Roman" w:hint="cs"/>
          <w:b/>
          <w:bCs/>
          <w:sz w:val="24"/>
          <w:szCs w:val="24"/>
          <w:rtl/>
        </w:rPr>
        <w:t>، زمالة ال</w:t>
      </w:r>
      <w:r w:rsidRPr="00F16CCB">
        <w:rPr>
          <w:rFonts w:ascii="Times New Roman" w:eastAsia="Calibri" w:hAnsi="Times New Roman" w:cs="Times New Roman"/>
          <w:b/>
          <w:bCs/>
          <w:sz w:val="24"/>
          <w:szCs w:val="24"/>
          <w:rtl/>
        </w:rPr>
        <w:t>جراحة</w:t>
      </w:r>
      <w:r w:rsidRPr="00F16CCB">
        <w:rPr>
          <w:rFonts w:ascii="Times New Roman" w:eastAsia="Calibri" w:hAnsi="Times New Roman" w:cs="Times New Roman" w:hint="cs"/>
          <w:b/>
          <w:bCs/>
          <w:sz w:val="24"/>
          <w:szCs w:val="24"/>
          <w:rtl/>
        </w:rPr>
        <w:t xml:space="preserve"> بالمناظير </w:t>
      </w:r>
      <w:r w:rsidRPr="00F16CCB">
        <w:rPr>
          <w:rFonts w:ascii="Times New Roman" w:eastAsia="Calibri" w:hAnsi="Times New Roman" w:cs="Times New Roman"/>
          <w:b/>
          <w:bCs/>
          <w:sz w:val="24"/>
          <w:szCs w:val="24"/>
          <w:rtl/>
        </w:rPr>
        <w:t>وجراح</w:t>
      </w:r>
      <w:r w:rsidRPr="00F16CCB">
        <w:rPr>
          <w:rFonts w:ascii="Times New Roman" w:eastAsia="Calibri" w:hAnsi="Times New Roman" w:cs="Times New Roman" w:hint="cs"/>
          <w:b/>
          <w:bCs/>
          <w:sz w:val="24"/>
          <w:szCs w:val="24"/>
          <w:rtl/>
        </w:rPr>
        <w:t>ات</w:t>
      </w:r>
      <w:r w:rsidRPr="00F16CCB">
        <w:rPr>
          <w:rFonts w:ascii="Times New Roman" w:eastAsia="Calibri" w:hAnsi="Times New Roman" w:cs="Times New Roman"/>
          <w:b/>
          <w:bCs/>
          <w:sz w:val="24"/>
          <w:szCs w:val="24"/>
          <w:rtl/>
        </w:rPr>
        <w:t xml:space="preserve"> السمنة</w:t>
      </w:r>
      <w:r w:rsidRPr="00F16CCB">
        <w:rPr>
          <w:rFonts w:ascii="Times New Roman" w:eastAsia="Calibri" w:hAnsi="Times New Roman" w:cs="Times New Roman" w:hint="cs"/>
          <w:b/>
          <w:bCs/>
          <w:sz w:val="24"/>
          <w:szCs w:val="24"/>
          <w:rtl/>
        </w:rPr>
        <w:t xml:space="preserve"> (ألمانيا)، كلية العلوم الصحية، الأحساء، المملكة العربية السعودية</w:t>
      </w:r>
    </w:p>
    <w:p w14:paraId="0AA77E71" w14:textId="77777777" w:rsidR="00F16CCB" w:rsidRPr="00F16CCB" w:rsidRDefault="00F16CCB" w:rsidP="00F16CCB">
      <w:pPr>
        <w:widowControl w:val="0"/>
        <w:spacing w:after="0" w:line="240" w:lineRule="auto"/>
        <w:jc w:val="center"/>
        <w:rPr>
          <w:rFonts w:ascii="Times New Roman" w:eastAsia="Calibri" w:hAnsi="Times New Roman" w:cs="Times New Roman"/>
          <w:b/>
          <w:bCs/>
          <w:sz w:val="24"/>
          <w:szCs w:val="24"/>
          <w:lang w:bidi="en-US"/>
        </w:rPr>
      </w:pPr>
    </w:p>
    <w:p w14:paraId="56AA6827" w14:textId="77777777" w:rsidR="00F16CCB" w:rsidRPr="00F16CCB" w:rsidRDefault="00F16CCB" w:rsidP="00F16CCB">
      <w:pPr>
        <w:widowControl w:val="0"/>
        <w:bidi/>
        <w:spacing w:after="0" w:line="240" w:lineRule="auto"/>
        <w:jc w:val="both"/>
        <w:rPr>
          <w:rFonts w:ascii="Times New Roman" w:eastAsia="Calibri" w:hAnsi="Times New Roman" w:cs="Times New Roman"/>
          <w:b/>
          <w:bCs/>
          <w:sz w:val="20"/>
          <w:szCs w:val="20"/>
          <w:rtl/>
        </w:rPr>
      </w:pPr>
      <w:r w:rsidRPr="00F16CCB">
        <w:rPr>
          <w:rFonts w:ascii="Times New Roman" w:eastAsia="Calibri" w:hAnsi="Times New Roman" w:cs="Times New Roman"/>
          <w:b/>
          <w:bCs/>
          <w:sz w:val="20"/>
          <w:szCs w:val="20"/>
          <w:rtl/>
        </w:rPr>
        <w:t xml:space="preserve">البريد الالكتروني: </w:t>
      </w:r>
      <w:r w:rsidRPr="00F16CCB">
        <w:rPr>
          <w:rFonts w:ascii="Times New Roman" w:eastAsia="Calibri" w:hAnsi="Times New Roman" w:cs="Times New Roman"/>
          <w:b/>
          <w:bCs/>
          <w:sz w:val="20"/>
          <w:szCs w:val="20"/>
        </w:rPr>
        <w:t xml:space="preserve">abdulmohsen4@hotmail.com   </w:t>
      </w:r>
    </w:p>
    <w:p w14:paraId="626A755C" w14:textId="77777777" w:rsidR="00F16CCB" w:rsidRPr="00F16CCB" w:rsidRDefault="00F16CCB" w:rsidP="00F16CCB">
      <w:pPr>
        <w:bidi/>
        <w:spacing w:after="0" w:line="240" w:lineRule="auto"/>
        <w:jc w:val="both"/>
        <w:rPr>
          <w:rFonts w:ascii="Times New Roman" w:eastAsia="Calibri" w:hAnsi="Times New Roman" w:cs="Times New Roman"/>
          <w:b/>
          <w:bCs/>
          <w:sz w:val="16"/>
          <w:szCs w:val="16"/>
          <w:rtl/>
        </w:rPr>
      </w:pPr>
      <w:r w:rsidRPr="00F16CCB">
        <w:rPr>
          <w:rFonts w:ascii="Times New Roman" w:eastAsia="Calibri" w:hAnsi="Times New Roman" w:cs="Times New Roman"/>
          <w:sz w:val="20"/>
          <w:szCs w:val="20"/>
          <w:rtl/>
          <w:lang w:bidi="ar-EG"/>
        </w:rPr>
        <w:t xml:space="preserve">المعرف الرقمي للمقالة: </w:t>
      </w:r>
      <w:r w:rsidRPr="00F16CCB">
        <w:rPr>
          <w:rFonts w:ascii="Times New Roman" w:eastAsia="Calibri" w:hAnsi="Times New Roman" w:cs="Times New Roman"/>
          <w:sz w:val="20"/>
          <w:szCs w:val="20"/>
          <w:lang w:bidi="ar-EG"/>
        </w:rPr>
        <w:t>10.21608/ijma.2019.63221</w:t>
      </w:r>
    </w:p>
    <w:p w14:paraId="2925386B" w14:textId="77777777" w:rsidR="00F16CCB" w:rsidRPr="00F16CCB" w:rsidRDefault="00F16CCB" w:rsidP="00F16CCB">
      <w:pPr>
        <w:bidi/>
        <w:spacing w:after="0" w:line="240" w:lineRule="auto"/>
        <w:jc w:val="both"/>
        <w:rPr>
          <w:rFonts w:ascii="Times New Roman" w:eastAsia="Calibri" w:hAnsi="Times New Roman" w:cs="Times New Roman"/>
          <w:sz w:val="20"/>
          <w:szCs w:val="20"/>
          <w:rtl/>
          <w:lang w:bidi="ar-EG"/>
        </w:rPr>
      </w:pPr>
      <w:r w:rsidRPr="00F16CCB">
        <w:rPr>
          <w:rFonts w:ascii="Times New Roman" w:eastAsia="Calibri" w:hAnsi="Times New Roman" w:cs="Times New Roman"/>
          <w:sz w:val="18"/>
          <w:szCs w:val="18"/>
          <w:rtl/>
        </w:rPr>
        <w:t xml:space="preserve">تاريخ الاستلام: </w:t>
      </w:r>
      <w:r w:rsidRPr="00F16CCB">
        <w:rPr>
          <w:rFonts w:ascii="Times New Roman" w:eastAsia="Calibri" w:hAnsi="Times New Roman" w:cs="Times New Roman" w:hint="cs"/>
          <w:sz w:val="18"/>
          <w:szCs w:val="18"/>
          <w:rtl/>
          <w:lang w:bidi="ar-EG"/>
        </w:rPr>
        <w:t xml:space="preserve">1- 10- 2019، تاريخ المراجعة: 15- 11 </w:t>
      </w:r>
      <w:r w:rsidRPr="00F16CCB">
        <w:rPr>
          <w:rFonts w:ascii="Times New Roman" w:eastAsia="Calibri" w:hAnsi="Times New Roman" w:cs="Times New Roman"/>
          <w:sz w:val="18"/>
          <w:szCs w:val="18"/>
          <w:rtl/>
          <w:lang w:bidi="ar-EG"/>
        </w:rPr>
        <w:t>–</w:t>
      </w:r>
      <w:r w:rsidRPr="00F16CCB">
        <w:rPr>
          <w:rFonts w:ascii="Times New Roman" w:eastAsia="Calibri" w:hAnsi="Times New Roman" w:cs="Times New Roman" w:hint="cs"/>
          <w:sz w:val="18"/>
          <w:szCs w:val="18"/>
          <w:rtl/>
          <w:lang w:bidi="ar-EG"/>
        </w:rPr>
        <w:t xml:space="preserve"> 2019، تاريخ القبول للنشر: 25- 11 </w:t>
      </w:r>
      <w:r w:rsidRPr="00F16CCB">
        <w:rPr>
          <w:rFonts w:ascii="Times New Roman" w:eastAsia="Calibri" w:hAnsi="Times New Roman" w:cs="Times New Roman"/>
          <w:sz w:val="18"/>
          <w:szCs w:val="18"/>
          <w:rtl/>
          <w:lang w:bidi="ar-EG"/>
        </w:rPr>
        <w:t>–</w:t>
      </w:r>
      <w:r w:rsidRPr="00F16CCB">
        <w:rPr>
          <w:rFonts w:ascii="Times New Roman" w:eastAsia="Calibri" w:hAnsi="Times New Roman" w:cs="Times New Roman" w:hint="cs"/>
          <w:sz w:val="18"/>
          <w:szCs w:val="18"/>
          <w:rtl/>
          <w:lang w:bidi="ar-EG"/>
        </w:rPr>
        <w:t xml:space="preserve"> 2019، </w:t>
      </w:r>
      <w:r w:rsidRPr="00F16CCB">
        <w:rPr>
          <w:rFonts w:ascii="Times New Roman" w:eastAsia="Calibri" w:hAnsi="Times New Roman" w:cs="Times New Roman" w:hint="cs"/>
          <w:sz w:val="18"/>
          <w:szCs w:val="18"/>
          <w:rtl/>
        </w:rPr>
        <w:t xml:space="preserve">تاريخ النشر علي الموقع الالكتروني: 1-12- 2019 </w:t>
      </w:r>
    </w:p>
    <w:p w14:paraId="13F22D3A" w14:textId="77777777" w:rsidR="00F16CCB" w:rsidRPr="00F16CCB" w:rsidRDefault="00F16CCB" w:rsidP="00F16CCB">
      <w:pPr>
        <w:widowControl w:val="0"/>
        <w:bidi/>
        <w:spacing w:after="0" w:line="240" w:lineRule="auto"/>
        <w:jc w:val="both"/>
        <w:rPr>
          <w:rFonts w:ascii="Times New Roman" w:eastAsia="Calibri" w:hAnsi="Times New Roman" w:cs="Times New Roman"/>
          <w:sz w:val="38"/>
          <w:szCs w:val="3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F16CCB" w:rsidRPr="00F16CCB" w14:paraId="76ED51FD" w14:textId="77777777" w:rsidTr="0054732C">
        <w:tc>
          <w:tcPr>
            <w:tcW w:w="5000" w:type="pct"/>
            <w:tcBorders>
              <w:top w:val="single" w:sz="24" w:space="0" w:color="385623"/>
              <w:left w:val="nil"/>
              <w:bottom w:val="single" w:sz="24" w:space="0" w:color="385623"/>
              <w:right w:val="nil"/>
            </w:tcBorders>
            <w:shd w:val="clear" w:color="auto" w:fill="auto"/>
          </w:tcPr>
          <w:p w14:paraId="4CBDC111" w14:textId="77777777" w:rsidR="00F16CCB" w:rsidRPr="00F16CCB" w:rsidRDefault="00F16CCB" w:rsidP="00F16CCB">
            <w:pPr>
              <w:widowControl w:val="0"/>
              <w:spacing w:after="0" w:line="360" w:lineRule="auto"/>
              <w:ind w:left="1173" w:hanging="1173"/>
              <w:jc w:val="center"/>
              <w:rPr>
                <w:rFonts w:ascii="Times New Roman" w:eastAsia="Calibri" w:hAnsi="Times New Roman" w:cs="Times New Roman"/>
                <w:b/>
                <w:bCs/>
              </w:rPr>
            </w:pPr>
            <w:r w:rsidRPr="00F16CCB">
              <w:rPr>
                <w:rFonts w:ascii="Times New Roman" w:eastAsia="Calibri" w:hAnsi="Times New Roman" w:cs="Times New Roman" w:hint="cs"/>
                <w:b/>
                <w:bCs/>
                <w:rtl/>
              </w:rPr>
              <w:t>الملخص باللغة العربية</w:t>
            </w:r>
          </w:p>
          <w:p w14:paraId="26A48F74" w14:textId="77777777" w:rsidR="00F16CCB" w:rsidRPr="00F16CCB" w:rsidRDefault="00F16CCB" w:rsidP="00F16CCB">
            <w:pPr>
              <w:widowControl w:val="0"/>
              <w:bidi/>
              <w:spacing w:after="0" w:line="240" w:lineRule="auto"/>
              <w:ind w:left="318" w:hanging="284"/>
              <w:jc w:val="both"/>
              <w:rPr>
                <w:rFonts w:ascii="Times New Roman" w:eastAsia="Calibri" w:hAnsi="Times New Roman" w:cs="Times New Roman"/>
                <w:rtl/>
              </w:rPr>
            </w:pPr>
            <w:r w:rsidRPr="00F16CCB">
              <w:rPr>
                <w:rFonts w:ascii="Times New Roman" w:eastAsia="Calibri" w:hAnsi="Times New Roman" w:cs="Times New Roman" w:hint="cs"/>
                <w:rtl/>
              </w:rPr>
              <w:t xml:space="preserve">المقدمة: يعد الورم االلحمي بالجهاز الهضمي من الأورام الشائعة لدي الكبار. ولكن 1.5%  إلي 2.0% من تلك الأورام وجد لدي الأطفال والمراهقين. وتتم مناجزة هذا الورم كما يتم لدي الكبار، نظرا لنقص المعلومات عن مناجزة تلك الأورام لدي الأطفال. </w:t>
            </w:r>
          </w:p>
          <w:p w14:paraId="12202CA9" w14:textId="77777777" w:rsidR="00F16CCB" w:rsidRPr="00F16CCB" w:rsidRDefault="00F16CCB" w:rsidP="00F16CCB">
            <w:pPr>
              <w:widowControl w:val="0"/>
              <w:bidi/>
              <w:spacing w:after="0" w:line="240" w:lineRule="auto"/>
              <w:ind w:left="318" w:hanging="284"/>
              <w:jc w:val="both"/>
              <w:rPr>
                <w:rFonts w:ascii="Times New Roman" w:eastAsia="Calibri" w:hAnsi="Times New Roman" w:cs="Times New Roman"/>
                <w:rtl/>
              </w:rPr>
            </w:pPr>
            <w:r w:rsidRPr="00F16CCB">
              <w:rPr>
                <w:rFonts w:ascii="Times New Roman" w:eastAsia="Calibri" w:hAnsi="Times New Roman" w:cs="Times New Roman" w:hint="cs"/>
                <w:rtl/>
              </w:rPr>
              <w:t>وفي هذا المقال نستعرض حالة طفلة سعودية لديها ورم لحمي بالأمعاء الدقيقة. كما تم مراجعة ما نشرمن دراسات بهدف استخلاص قواعد للعلاج الأمثل لعلاج الأورام الللحمية بالأمعاء الدقيقة – من النوع الذي يصيب الكبار- لدي الأطفال.</w:t>
            </w:r>
          </w:p>
          <w:p w14:paraId="775E08DD" w14:textId="77777777" w:rsidR="00F16CCB" w:rsidRPr="00F16CCB" w:rsidRDefault="00F16CCB" w:rsidP="00F16CCB">
            <w:pPr>
              <w:widowControl w:val="0"/>
              <w:bidi/>
              <w:spacing w:after="0" w:line="240" w:lineRule="auto"/>
              <w:ind w:left="318" w:hanging="284"/>
              <w:jc w:val="both"/>
              <w:rPr>
                <w:rFonts w:ascii="Times New Roman" w:eastAsia="Calibri" w:hAnsi="Times New Roman" w:cs="Times New Roman"/>
                <w:rtl/>
                <w:lang w:bidi="ar-EG"/>
              </w:rPr>
            </w:pPr>
            <w:r w:rsidRPr="00F16CCB">
              <w:rPr>
                <w:rFonts w:ascii="Times New Roman" w:eastAsia="Calibri" w:hAnsi="Times New Roman" w:cs="Times New Roman" w:hint="cs"/>
                <w:b/>
                <w:bCs/>
                <w:rtl/>
              </w:rPr>
              <w:t>ملخص الحالة:</w:t>
            </w:r>
            <w:r w:rsidRPr="00F16CCB">
              <w:rPr>
                <w:rFonts w:ascii="Times New Roman" w:eastAsia="Calibri" w:hAnsi="Times New Roman" w:cs="Times New Roman" w:hint="cs"/>
                <w:rtl/>
              </w:rPr>
              <w:t xml:space="preserve"> طفلة سعودية، عمرها 14 عاما، تم استقبالها بقسم الطوارئ تشكو من ألم غامض بالبطن، مع سهولة الشعور بالتعب، لمدة ثمانية أشهر. وكان الألم موجودا بأسفل البطن، خفيف (غير قوي) الشدة، يظهر ويختفي، ولم توجد عوامل تساعد في ظهور أو زيادة شدة المرض أو التخفيف من حدته. </w:t>
            </w:r>
            <w:r w:rsidRPr="00F16CCB">
              <w:rPr>
                <w:rFonts w:ascii="Times New Roman" w:eastAsia="Calibri" w:hAnsi="Times New Roman" w:cs="Times New Roman" w:hint="cs"/>
                <w:rtl/>
                <w:lang w:bidi="ar-EG"/>
              </w:rPr>
              <w:t>وكان الألم محدودا في منطقة أسفل البطن. وبالفحص السريري تم اكتشاف كتلة دائرية الشكل، حول منطقة السرة، صلبة القوام، تمتد للجانب الأيمن من البطن، ولا تتحرك مع حركات التنفس، ولا يصاحب عملية الفحص أي زيادة في الألم.</w:t>
            </w:r>
            <w:r w:rsidRPr="00F16CCB">
              <w:rPr>
                <w:rFonts w:ascii="Times New Roman" w:eastAsia="Calibri" w:hAnsi="Times New Roman" w:cs="Times New Roman"/>
                <w:lang w:bidi="ar-EG"/>
              </w:rPr>
              <w:t xml:space="preserve"> </w:t>
            </w:r>
            <w:r w:rsidRPr="00F16CCB">
              <w:rPr>
                <w:rFonts w:ascii="Times New Roman" w:eastAsia="Calibri" w:hAnsi="Times New Roman" w:cs="Times New Roman" w:hint="cs"/>
                <w:rtl/>
                <w:lang w:bidi="ar-EG"/>
              </w:rPr>
              <w:t xml:space="preserve"> وبإجراء الفحص المخبري الروتيني، تبين وجود فقر بالدم (نقص حجم خلايا الدم الحمراء ونقص التصبغ). وبإجراء فحص بالأشعة المقطعية للبطن والحوض، تبين وجود كتلة من الأنسجة الرخوة، مقياسها 13 * 11 * 12 سم، من النمط الغير متجانس مع وجود مناطق منخفضة الكثافة، والتحلل الكيسي. كما وجد</w:t>
            </w:r>
            <w:r w:rsidRPr="00F16CCB">
              <w:rPr>
                <w:rFonts w:ascii="Times New Roman" w:eastAsia="Calibri" w:hAnsi="Times New Roman" w:cs="Times New Roman"/>
                <w:lang w:bidi="ar-EG"/>
              </w:rPr>
              <w:t xml:space="preserve"> </w:t>
            </w:r>
            <w:r w:rsidRPr="00F16CCB">
              <w:rPr>
                <w:rFonts w:ascii="Times New Roman" w:eastAsia="Calibri" w:hAnsi="Times New Roman" w:cs="Times New Roman" w:hint="cs"/>
                <w:rtl/>
                <w:lang w:bidi="ar-EG"/>
              </w:rPr>
              <w:t xml:space="preserve"> تنخر بالمساريقا (الأغشية التي تغلف الأمعاء) مع وجود بعض التكلس داخل الورم. ومن تلك الصورة تم الوصول إلي تشخيص أولي: إما سرطان الغدد الليمفاوية أو ورم لحمي بالجهاز الهضمي. </w:t>
            </w:r>
          </w:p>
          <w:p w14:paraId="6D86EC56" w14:textId="77777777" w:rsidR="00F16CCB" w:rsidRPr="00F16CCB" w:rsidRDefault="00F16CCB" w:rsidP="00F16CCB">
            <w:pPr>
              <w:widowControl w:val="0"/>
              <w:bidi/>
              <w:spacing w:after="0" w:line="240" w:lineRule="auto"/>
              <w:ind w:left="318" w:hanging="284"/>
              <w:jc w:val="both"/>
              <w:rPr>
                <w:rFonts w:ascii="Times New Roman" w:eastAsia="Calibri" w:hAnsi="Times New Roman" w:cs="Times New Roman"/>
                <w:rtl/>
              </w:rPr>
            </w:pPr>
            <w:r w:rsidRPr="00F16CCB">
              <w:rPr>
                <w:rFonts w:ascii="Times New Roman" w:eastAsia="Calibri" w:hAnsi="Times New Roman" w:cs="Times New Roman" w:hint="cs"/>
                <w:rtl/>
                <w:lang w:bidi="ar-EG"/>
              </w:rPr>
              <w:t xml:space="preserve">وقد تم استئصال الورم جراحيا ككتلة واحدة، وبحد آمن، وقد تم أخذ عينة من الغدد الليمفاوية، والقيام بمفاغرة جنبا إلي جنب بواسطة دباسة خطية. وقد أسفر الفحص النسيجي عن وجود عناقيد متمايزة جيدا، وأخري قليلة التميز من الخلايا السرطانية، لديها نواة مغزلية ، دائرية أو بيضاوية الشكل تغزو المساريقا والأمعاء الدقيقة. كما وجدت خلايا في طور الانقسام، وعقيدات ليمفاوية نشطة، وقد أظهر الفحص المناعي الكيميائي للأنسجة عن وجود تفاعل قوي وموجب ومنتشر بمجموعة التمايز 117،  34 وسلبي للاس – 100.                    </w:t>
            </w:r>
            <w:r w:rsidRPr="00F16CCB">
              <w:rPr>
                <w:rFonts w:ascii="Times New Roman" w:eastAsia="Calibri" w:hAnsi="Times New Roman" w:cs="Times New Roman" w:hint="cs"/>
                <w:rtl/>
              </w:rPr>
              <w:t xml:space="preserve">      </w:t>
            </w:r>
          </w:p>
          <w:p w14:paraId="6C25885D" w14:textId="77777777" w:rsidR="00F16CCB" w:rsidRPr="00F16CCB" w:rsidRDefault="00F16CCB" w:rsidP="00F16CCB">
            <w:pPr>
              <w:widowControl w:val="0"/>
              <w:bidi/>
              <w:spacing w:after="0" w:line="240" w:lineRule="auto"/>
              <w:ind w:left="318" w:hanging="284"/>
              <w:jc w:val="both"/>
              <w:rPr>
                <w:rFonts w:ascii="Times New Roman" w:eastAsia="Calibri" w:hAnsi="Times New Roman" w:cs="Times New Roman"/>
              </w:rPr>
            </w:pPr>
          </w:p>
        </w:tc>
      </w:tr>
    </w:tbl>
    <w:p w14:paraId="096F6102" w14:textId="77777777" w:rsidR="00F16CCB" w:rsidRPr="00F16CCB" w:rsidRDefault="00F16CCB" w:rsidP="00F16CCB">
      <w:pPr>
        <w:widowControl w:val="0"/>
        <w:spacing w:after="0" w:line="240" w:lineRule="auto"/>
        <w:ind w:left="597" w:hanging="597"/>
        <w:jc w:val="both"/>
        <w:rPr>
          <w:rFonts w:ascii="Times New Roman" w:eastAsia="Calibri" w:hAnsi="Times New Roman" w:cs="Times New Roman"/>
          <w:b/>
          <w:bCs/>
          <w:sz w:val="10"/>
          <w:szCs w:val="10"/>
        </w:rPr>
      </w:pPr>
    </w:p>
    <w:p w14:paraId="10E93437" w14:textId="77777777" w:rsidR="00F16CCB" w:rsidRPr="00F16CCB" w:rsidRDefault="00F16CCB" w:rsidP="00F16CCB">
      <w:pPr>
        <w:widowControl w:val="0"/>
        <w:bidi/>
        <w:spacing w:after="0" w:line="240" w:lineRule="auto"/>
        <w:ind w:left="597" w:hanging="597"/>
        <w:jc w:val="both"/>
        <w:rPr>
          <w:rFonts w:ascii="Times New Roman" w:eastAsia="Calibri" w:hAnsi="Times New Roman" w:cs="Times New Roman"/>
          <w:b/>
          <w:bCs/>
          <w:sz w:val="24"/>
          <w:szCs w:val="24"/>
          <w:rtl/>
        </w:rPr>
      </w:pPr>
    </w:p>
    <w:p w14:paraId="5D84D515" w14:textId="77777777" w:rsidR="00F16CCB" w:rsidRPr="00F16CCB" w:rsidRDefault="00F16CCB" w:rsidP="00F16CCB">
      <w:pPr>
        <w:widowControl w:val="0"/>
        <w:bidi/>
        <w:spacing w:after="0" w:line="240" w:lineRule="auto"/>
        <w:ind w:left="597" w:hanging="597"/>
        <w:jc w:val="both"/>
        <w:rPr>
          <w:rFonts w:ascii="Times New Roman" w:eastAsia="Calibri" w:hAnsi="Times New Roman" w:cs="Times New Roman"/>
          <w:b/>
          <w:bCs/>
          <w:sz w:val="24"/>
          <w:szCs w:val="24"/>
          <w:rtl/>
        </w:rPr>
      </w:pPr>
      <w:r w:rsidRPr="00F16CCB">
        <w:rPr>
          <w:rFonts w:ascii="Times New Roman" w:eastAsia="Calibri" w:hAnsi="Times New Roman" w:cs="Times New Roman"/>
          <w:b/>
          <w:bCs/>
          <w:sz w:val="24"/>
          <w:szCs w:val="24"/>
          <w:rtl/>
        </w:rPr>
        <w:t xml:space="preserve">الكلمات المفتاحية: </w:t>
      </w:r>
      <w:r w:rsidRPr="00F16CCB">
        <w:rPr>
          <w:rFonts w:ascii="Times New Roman" w:eastAsia="Calibri" w:hAnsi="Times New Roman" w:cs="Times New Roman" w:hint="cs"/>
          <w:b/>
          <w:bCs/>
          <w:sz w:val="24"/>
          <w:szCs w:val="24"/>
          <w:rtl/>
        </w:rPr>
        <w:t>الأطفال، المراهقين، الأمعاء الدقيقة، ورم لحمي بالجهاز الهضمي، مناجزة.</w:t>
      </w:r>
    </w:p>
    <w:p w14:paraId="4BEF5BD2" w14:textId="77777777" w:rsidR="00F16CCB" w:rsidRPr="00F16CCB" w:rsidRDefault="00F16CCB" w:rsidP="00F16CCB">
      <w:pPr>
        <w:widowControl w:val="0"/>
        <w:bidi/>
        <w:spacing w:after="0" w:line="240" w:lineRule="auto"/>
        <w:ind w:left="597" w:hanging="597"/>
        <w:jc w:val="both"/>
        <w:rPr>
          <w:rFonts w:ascii="Times New Roman" w:eastAsia="Calibri" w:hAnsi="Times New Roman" w:cs="Times New Roman"/>
          <w:b/>
          <w:bCs/>
          <w:sz w:val="24"/>
          <w:szCs w:val="24"/>
          <w:rtl/>
        </w:rPr>
      </w:pPr>
    </w:p>
    <w:p w14:paraId="38A27549" w14:textId="77777777" w:rsidR="00F16CCB" w:rsidRPr="00F16CCB" w:rsidRDefault="00F16CCB" w:rsidP="00F16CCB">
      <w:pPr>
        <w:widowControl w:val="0"/>
        <w:bidi/>
        <w:spacing w:after="0" w:line="240" w:lineRule="auto"/>
        <w:ind w:left="597" w:hanging="597"/>
        <w:jc w:val="both"/>
        <w:rPr>
          <w:rFonts w:ascii="Times New Roman" w:eastAsia="Calibri" w:hAnsi="Times New Roman" w:cs="Times New Roman"/>
          <w:sz w:val="20"/>
          <w:szCs w:val="20"/>
          <w:lang w:bidi="ar-EG"/>
        </w:rPr>
      </w:pPr>
      <w:r w:rsidRPr="00F16CCB">
        <w:rPr>
          <w:rFonts w:ascii="Times New Roman" w:eastAsia="Calibri" w:hAnsi="Times New Roman" w:cs="Times New Roman"/>
          <w:sz w:val="20"/>
          <w:szCs w:val="20"/>
          <w:rtl/>
          <w:lang w:bidi="ar-EG"/>
        </w:rPr>
        <w:t>هذه مقالة مفتوحة المصدر تحت رخصة المشاع الإبداعي (</w:t>
      </w:r>
      <w:r w:rsidRPr="00F16CCB">
        <w:rPr>
          <w:rFonts w:ascii="Times New Roman" w:eastAsia="Calibri" w:hAnsi="Times New Roman" w:cs="Times New Roman"/>
          <w:sz w:val="20"/>
          <w:szCs w:val="20"/>
          <w:lang w:bidi="ar-EG"/>
        </w:rPr>
        <w:t>CC BY</w:t>
      </w:r>
      <w:r w:rsidRPr="00F16CCB">
        <w:rPr>
          <w:rFonts w:ascii="Times New Roman" w:eastAsia="Calibri" w:hAnsi="Times New Roman" w:cs="Times New Roman"/>
          <w:sz w:val="20"/>
          <w:szCs w:val="20"/>
          <w:rtl/>
          <w:lang w:bidi="ar-EG"/>
        </w:rPr>
        <w:t xml:space="preserve">) </w:t>
      </w:r>
      <w:r w:rsidRPr="00F16CCB">
        <w:rPr>
          <w:rFonts w:ascii="Times New Roman" w:eastAsia="Calibri" w:hAnsi="Times New Roman" w:cs="Times New Roman" w:hint="cs"/>
          <w:sz w:val="20"/>
          <w:szCs w:val="20"/>
          <w:rtl/>
          <w:lang w:bidi="ar-EG"/>
        </w:rPr>
        <w:t>الاصدار الثاني</w:t>
      </w:r>
      <w:r w:rsidRPr="00F16CCB">
        <w:rPr>
          <w:rFonts w:ascii="Times New Roman" w:eastAsia="Calibri" w:hAnsi="Times New Roman" w:cs="Times New Roman"/>
          <w:sz w:val="20"/>
          <w:szCs w:val="20"/>
          <w:rtl/>
          <w:lang w:bidi="ar-EG"/>
        </w:rPr>
        <w:t xml:space="preserve"> </w:t>
      </w:r>
      <w:r w:rsidRPr="00F16CCB">
        <w:rPr>
          <w:rFonts w:ascii="Times New Roman" w:eastAsia="Calibri" w:hAnsi="Times New Roman" w:cs="Times New Roman"/>
          <w:sz w:val="20"/>
          <w:szCs w:val="20"/>
          <w:lang w:bidi="ar-EG"/>
        </w:rPr>
        <w:t>[https://creativecommons.org/licenses/by/2.0/]</w:t>
      </w:r>
    </w:p>
    <w:p w14:paraId="7B939B60" w14:textId="77777777" w:rsidR="00EB301A" w:rsidRDefault="00EB301A"/>
    <w:sectPr w:rsidR="00EB3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CB"/>
    <w:rsid w:val="005B7681"/>
    <w:rsid w:val="009E5869"/>
    <w:rsid w:val="00EB301A"/>
    <w:rsid w:val="00F16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25F3"/>
  <w15:chartTrackingRefBased/>
  <w15:docId w15:val="{A46F4AD5-E096-4051-B0AF-9097DE6B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Mahmoud</dc:creator>
  <cp:keywords/>
  <dc:description/>
  <cp:lastModifiedBy>Dr Mahmoud</cp:lastModifiedBy>
  <cp:revision>1</cp:revision>
  <dcterms:created xsi:type="dcterms:W3CDTF">2020-02-09T21:36:00Z</dcterms:created>
  <dcterms:modified xsi:type="dcterms:W3CDTF">2020-02-09T21:36:00Z</dcterms:modified>
</cp:coreProperties>
</file>