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23858" w14:textId="77777777" w:rsidR="00E47BBA" w:rsidRPr="00E47BBA" w:rsidRDefault="00E47BBA" w:rsidP="00E47BBA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E47BBA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المجلة الدولية للفنون الطبية، المجلد الثاني، العدد الأول، يناير 2020، الصفحات 241- 246. </w:t>
      </w:r>
    </w:p>
    <w:tbl>
      <w:tblPr>
        <w:tblW w:w="5000" w:type="pct"/>
        <w:tblBorders>
          <w:top w:val="thinThickSmallGap" w:sz="24" w:space="0" w:color="538135"/>
          <w:bottom w:val="thinThickSmallGap" w:sz="24" w:space="0" w:color="538135"/>
        </w:tblBorders>
        <w:tblLook w:val="04A0" w:firstRow="1" w:lastRow="0" w:firstColumn="1" w:lastColumn="0" w:noHBand="0" w:noVBand="1"/>
      </w:tblPr>
      <w:tblGrid>
        <w:gridCol w:w="1937"/>
        <w:gridCol w:w="5592"/>
        <w:gridCol w:w="1831"/>
      </w:tblGrid>
      <w:tr w:rsidR="00E47BBA" w:rsidRPr="00E47BBA" w14:paraId="5F67A6C7" w14:textId="77777777" w:rsidTr="0054732C">
        <w:trPr>
          <w:trHeight w:val="1961"/>
        </w:trPr>
        <w:tc>
          <w:tcPr>
            <w:tcW w:w="1035" w:type="pct"/>
            <w:shd w:val="clear" w:color="auto" w:fill="auto"/>
            <w:vAlign w:val="center"/>
          </w:tcPr>
          <w:p w14:paraId="40F833E1" w14:textId="77777777" w:rsidR="00E47BBA" w:rsidRPr="00E47BBA" w:rsidRDefault="00E47BBA" w:rsidP="00E47B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B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3D8E57" wp14:editId="1E8A6F68">
                  <wp:extent cx="1054735" cy="1123627"/>
                  <wp:effectExtent l="0" t="0" r="0" b="635"/>
                  <wp:docPr id="36" name="Picture 1" descr="F:\IJMA-2019\covers\1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JMA-2019\covers\1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113" cy="1134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pct"/>
            <w:shd w:val="clear" w:color="auto" w:fill="auto"/>
          </w:tcPr>
          <w:p w14:paraId="0CEB0327" w14:textId="77777777" w:rsidR="00E47BBA" w:rsidRPr="00E47BBA" w:rsidRDefault="00E47BBA" w:rsidP="00E47BB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E49C6D" w14:textId="77777777" w:rsidR="00E47BBA" w:rsidRPr="00E47BBA" w:rsidRDefault="00E47BBA" w:rsidP="00E47B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E47BBA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متاح علي الموقع الالكتروني للمجلة </w:t>
            </w:r>
          </w:p>
          <w:p w14:paraId="1351D05A" w14:textId="77777777" w:rsidR="00E47BBA" w:rsidRPr="00E47BBA" w:rsidRDefault="00E47BBA" w:rsidP="00E47B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BBA">
              <w:rPr>
                <w:rFonts w:ascii="Times New Roman" w:eastAsia="Calibri" w:hAnsi="Times New Roman" w:cs="Times New Roman"/>
                <w:sz w:val="24"/>
                <w:szCs w:val="24"/>
              </w:rPr>
              <w:t>https://ijma.journals.ekb.eg/</w:t>
            </w:r>
          </w:p>
          <w:p w14:paraId="44B2BC80" w14:textId="77777777" w:rsidR="00E47BBA" w:rsidRPr="00E47BBA" w:rsidRDefault="00E47BBA" w:rsidP="00E47B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17F64FFF" w14:textId="77777777" w:rsidR="00E47BBA" w:rsidRPr="00E47BBA" w:rsidRDefault="00E47BBA" w:rsidP="00E47B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B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E0AD6A" wp14:editId="2969A409">
                  <wp:extent cx="948582" cy="1162060"/>
                  <wp:effectExtent l="0" t="0" r="4445" b="0"/>
                  <wp:docPr id="37" name="Picture 37" descr="F:\IJMA-2019\imhot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JMA-2019\imhot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333" cy="1198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760287" w14:textId="77777777" w:rsidR="00E47BBA" w:rsidRPr="00E47BBA" w:rsidRDefault="00E47BBA" w:rsidP="00E47BBA">
      <w:pPr>
        <w:widowControl w:val="0"/>
        <w:bidi/>
        <w:spacing w:after="0" w:line="240" w:lineRule="auto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E47BBA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rtl/>
        </w:rPr>
        <w:t>مقالة أصيلة</w:t>
      </w:r>
    </w:p>
    <w:p w14:paraId="184BAD8B" w14:textId="77777777" w:rsidR="00E47BBA" w:rsidRPr="00E47BBA" w:rsidRDefault="00E47BBA" w:rsidP="00E47BB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</w:pPr>
      <w:r w:rsidRPr="00E47BBA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  <w:t>العلاج الجراحي لكسور حلقة الحوض غير المستقرة عن طريق الطلاء الأمامي لمفصل العجز الحرقفي</w:t>
      </w:r>
    </w:p>
    <w:p w14:paraId="2A4D5F53" w14:textId="77777777" w:rsidR="00E47BBA" w:rsidRPr="00E47BBA" w:rsidRDefault="00E47BBA" w:rsidP="00E47BB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rtl/>
        </w:rPr>
      </w:pPr>
      <w:r w:rsidRPr="00E47BBA">
        <w:rPr>
          <w:rFonts w:ascii="Times New Roman" w:eastAsia="Calibri" w:hAnsi="Times New Roman" w:cs="Times New Roman" w:hint="cs"/>
          <w:sz w:val="24"/>
          <w:szCs w:val="24"/>
          <w:rtl/>
        </w:rPr>
        <w:t xml:space="preserve">محمد مصطفي المناوي، فتحي حمزة سلامة، سمير أحمد الشوري، عمار فتحي عبدالحميد حسين </w:t>
      </w:r>
    </w:p>
    <w:p w14:paraId="754EC4F9" w14:textId="77777777" w:rsidR="00E47BBA" w:rsidRPr="00E47BBA" w:rsidRDefault="00E47BBA" w:rsidP="00E47BB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47BBA">
        <w:rPr>
          <w:rFonts w:ascii="Times New Roman" w:eastAsia="Calibri" w:hAnsi="Times New Roman" w:cs="Times New Roman"/>
          <w:sz w:val="28"/>
          <w:szCs w:val="28"/>
          <w:rtl/>
        </w:rPr>
        <w:t xml:space="preserve">قسم جراحة العظام ، كلية </w:t>
      </w:r>
      <w:r w:rsidRPr="00E47BBA">
        <w:rPr>
          <w:rFonts w:ascii="Times New Roman" w:eastAsia="Calibri" w:hAnsi="Times New Roman" w:cs="Times New Roman" w:hint="cs"/>
          <w:sz w:val="28"/>
          <w:szCs w:val="28"/>
          <w:rtl/>
        </w:rPr>
        <w:t>ال</w:t>
      </w:r>
      <w:r w:rsidRPr="00E47BBA">
        <w:rPr>
          <w:rFonts w:ascii="Times New Roman" w:eastAsia="Calibri" w:hAnsi="Times New Roman" w:cs="Times New Roman"/>
          <w:sz w:val="28"/>
          <w:szCs w:val="28"/>
          <w:rtl/>
        </w:rPr>
        <w:t xml:space="preserve">طب </w:t>
      </w:r>
      <w:r w:rsidRPr="00E47BBA">
        <w:rPr>
          <w:rFonts w:ascii="Times New Roman" w:eastAsia="Calibri" w:hAnsi="Times New Roman" w:cs="Times New Roman" w:hint="cs"/>
          <w:sz w:val="28"/>
          <w:szCs w:val="28"/>
          <w:rtl/>
        </w:rPr>
        <w:t>ب</w:t>
      </w:r>
      <w:r w:rsidRPr="00E47BBA">
        <w:rPr>
          <w:rFonts w:ascii="Times New Roman" w:eastAsia="Calibri" w:hAnsi="Times New Roman" w:cs="Times New Roman"/>
          <w:sz w:val="28"/>
          <w:szCs w:val="28"/>
          <w:rtl/>
        </w:rPr>
        <w:t>دمياط ، جامعة الأزهر ، مصر</w:t>
      </w:r>
    </w:p>
    <w:p w14:paraId="69E76BC8" w14:textId="77777777" w:rsidR="00E47BBA" w:rsidRPr="00E47BBA" w:rsidRDefault="00E47BBA" w:rsidP="00E47BB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14:paraId="6E1EC413" w14:textId="77777777" w:rsidR="00E47BBA" w:rsidRPr="00E47BBA" w:rsidRDefault="00E47BBA" w:rsidP="00E47BB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14:paraId="2D5506BD" w14:textId="77777777" w:rsidR="00E47BBA" w:rsidRPr="00E47BBA" w:rsidRDefault="00E47BBA" w:rsidP="00E47BB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1F041A0" w14:textId="77777777" w:rsidR="00E47BBA" w:rsidRPr="00E47BBA" w:rsidRDefault="00E47BBA" w:rsidP="00E47BBA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rtl/>
        </w:rPr>
      </w:pPr>
      <w:r w:rsidRPr="00E47BBA">
        <w:rPr>
          <w:rFonts w:ascii="Times New Roman" w:eastAsia="Calibri" w:hAnsi="Times New Roman" w:cs="Times New Roman"/>
          <w:b/>
          <w:bCs/>
          <w:sz w:val="20"/>
          <w:szCs w:val="20"/>
          <w:rtl/>
        </w:rPr>
        <w:t xml:space="preserve">المؤلف المراسل: </w:t>
      </w:r>
      <w:r w:rsidRPr="00E47BBA">
        <w:rPr>
          <w:rFonts w:ascii="Times New Roman" w:eastAsia="Calibri" w:hAnsi="Times New Roman" w:cs="Times New Roman" w:hint="cs"/>
          <w:b/>
          <w:bCs/>
          <w:sz w:val="20"/>
          <w:szCs w:val="20"/>
          <w:rtl/>
        </w:rPr>
        <w:t>عمار فتحي عبدالحميد حسين</w:t>
      </w:r>
    </w:p>
    <w:p w14:paraId="69125D1B" w14:textId="77777777" w:rsidR="00E47BBA" w:rsidRPr="00E47BBA" w:rsidRDefault="00E47BBA" w:rsidP="00E47BBA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rtl/>
        </w:rPr>
      </w:pPr>
      <w:r w:rsidRPr="00E47BBA">
        <w:rPr>
          <w:rFonts w:ascii="Times New Roman" w:eastAsia="Calibri" w:hAnsi="Times New Roman" w:cs="Times New Roman"/>
          <w:b/>
          <w:bCs/>
          <w:sz w:val="20"/>
          <w:szCs w:val="20"/>
          <w:rtl/>
        </w:rPr>
        <w:t xml:space="preserve">البريد الالكتروني: </w:t>
      </w:r>
      <w:hyperlink r:id="rId7" w:history="1">
        <w:r w:rsidRPr="00E47BBA">
          <w:rPr>
            <w:rFonts w:ascii="Times New Roman" w:eastAsia="Calibri" w:hAnsi="Times New Roman" w:cs="Times New Roman"/>
            <w:b/>
            <w:bCs/>
            <w:color w:val="0563C1"/>
            <w:sz w:val="20"/>
            <w:szCs w:val="20"/>
            <w:u w:val="single"/>
          </w:rPr>
          <w:t>ammarfathy1@domazhermedicine.edu.eg</w:t>
        </w:r>
      </w:hyperlink>
    </w:p>
    <w:p w14:paraId="008AC7AE" w14:textId="77777777" w:rsidR="00E47BBA" w:rsidRPr="00E47BBA" w:rsidRDefault="00E47BBA" w:rsidP="00E47BBA">
      <w:pPr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rtl/>
        </w:rPr>
      </w:pPr>
      <w:r w:rsidRPr="00E47BBA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>المعرف الرقمي للمقالة:</w:t>
      </w:r>
      <w:r w:rsidRPr="00E47BBA">
        <w:rPr>
          <w:rFonts w:ascii="Times New Roman" w:eastAsia="Calibri" w:hAnsi="Times New Roman" w:cs="Times New Roman"/>
          <w:color w:val="2E74B5"/>
          <w:sz w:val="20"/>
          <w:szCs w:val="20"/>
        </w:rPr>
        <w:t xml:space="preserve"> </w:t>
      </w:r>
      <w:r w:rsidRPr="00E47BBA">
        <w:rPr>
          <w:rFonts w:ascii="Times New Roman" w:eastAsia="Calibri" w:hAnsi="Times New Roman" w:cs="Times New Roman"/>
          <w:sz w:val="20"/>
          <w:szCs w:val="20"/>
          <w:lang w:bidi="ar-EG"/>
        </w:rPr>
        <w:t>10.21608/ijma.2020.20216.1046</w:t>
      </w:r>
      <w:r w:rsidRPr="00E47BBA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 xml:space="preserve"> </w:t>
      </w:r>
    </w:p>
    <w:p w14:paraId="671AFCC8" w14:textId="77777777" w:rsidR="00E47BBA" w:rsidRPr="00E47BBA" w:rsidRDefault="00E47BBA" w:rsidP="00E47BBA">
      <w:pPr>
        <w:bidi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7BBA">
        <w:rPr>
          <w:rFonts w:ascii="Times New Roman" w:eastAsia="Calibri" w:hAnsi="Times New Roman" w:cs="Times New Roman"/>
          <w:sz w:val="18"/>
          <w:szCs w:val="18"/>
          <w:rtl/>
        </w:rPr>
        <w:t xml:space="preserve">تاريخ الاستلام: </w:t>
      </w:r>
      <w:r w:rsidRPr="00E47BBA">
        <w:rPr>
          <w:rFonts w:ascii="Times New Roman" w:eastAsia="Calibri" w:hAnsi="Times New Roman" w:cs="Times New Roman" w:hint="cs"/>
          <w:sz w:val="18"/>
          <w:szCs w:val="18"/>
          <w:rtl/>
        </w:rPr>
        <w:t xml:space="preserve">27- 11 </w:t>
      </w:r>
      <w:r w:rsidRPr="00E47BBA">
        <w:rPr>
          <w:rFonts w:ascii="Times New Roman" w:eastAsia="Calibri" w:hAnsi="Times New Roman" w:cs="Times New Roman"/>
          <w:sz w:val="18"/>
          <w:szCs w:val="18"/>
          <w:rtl/>
        </w:rPr>
        <w:t>–</w:t>
      </w:r>
      <w:r w:rsidRPr="00E47BBA">
        <w:rPr>
          <w:rFonts w:ascii="Times New Roman" w:eastAsia="Calibri" w:hAnsi="Times New Roman" w:cs="Times New Roman" w:hint="cs"/>
          <w:sz w:val="18"/>
          <w:szCs w:val="18"/>
          <w:rtl/>
        </w:rPr>
        <w:t xml:space="preserve"> 2019، تاريخ المراجعة: 21- 12- 2019، تاريخ القبول للنشر: 6-11- 2020، تاريخ النشر علي الموقع الالكتروني: 6-1-2020. </w:t>
      </w:r>
    </w:p>
    <w:p w14:paraId="116062B2" w14:textId="77777777" w:rsidR="00E47BBA" w:rsidRPr="00E47BBA" w:rsidRDefault="00E47BBA" w:rsidP="00E47BBA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9B70408" w14:textId="77777777" w:rsidR="00E47BBA" w:rsidRPr="00E47BBA" w:rsidRDefault="00E47BBA" w:rsidP="00E47BB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vertAlign w:val="superscript"/>
          <w:rtl/>
          <w:lang w:bidi="ar-EG"/>
        </w:rPr>
      </w:pPr>
      <w:r w:rsidRPr="00E47BBA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 xml:space="preserve"> </w:t>
      </w:r>
    </w:p>
    <w:p w14:paraId="3D2277AE" w14:textId="77777777" w:rsidR="00E47BBA" w:rsidRPr="00E47BBA" w:rsidRDefault="00E47BBA" w:rsidP="00E47BB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6E5620B4" w14:textId="77777777" w:rsidR="00E47BBA" w:rsidRPr="00E47BBA" w:rsidRDefault="00E47BBA" w:rsidP="00E47BB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2E74B5"/>
          <w:sz w:val="20"/>
          <w:szCs w:val="20"/>
        </w:rPr>
      </w:pPr>
    </w:p>
    <w:p w14:paraId="79319911" w14:textId="77777777" w:rsidR="00E47BBA" w:rsidRPr="00E47BBA" w:rsidRDefault="00E47BBA" w:rsidP="00E47BB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2E74B5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47BBA" w:rsidRPr="00E47BBA" w14:paraId="7F010EAF" w14:textId="77777777" w:rsidTr="0054732C">
        <w:tc>
          <w:tcPr>
            <w:tcW w:w="5000" w:type="pct"/>
            <w:tcBorders>
              <w:top w:val="single" w:sz="24" w:space="0" w:color="385623"/>
              <w:left w:val="nil"/>
              <w:bottom w:val="single" w:sz="24" w:space="0" w:color="385623"/>
              <w:right w:val="nil"/>
            </w:tcBorders>
            <w:shd w:val="clear" w:color="auto" w:fill="auto"/>
          </w:tcPr>
          <w:p w14:paraId="7ECA0ECB" w14:textId="77777777" w:rsidR="00E47BBA" w:rsidRPr="00E47BBA" w:rsidRDefault="00E47BBA" w:rsidP="00E47BBA">
            <w:pPr>
              <w:widowControl w:val="0"/>
              <w:spacing w:after="0" w:line="240" w:lineRule="auto"/>
              <w:ind w:left="1173" w:hanging="117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47BBA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الملخص باللغة العربية</w:t>
            </w:r>
          </w:p>
          <w:p w14:paraId="28A6780F" w14:textId="77777777" w:rsidR="00E47BBA" w:rsidRPr="00E47BBA" w:rsidRDefault="00E47BBA" w:rsidP="00E47BBA">
            <w:pPr>
              <w:widowControl w:val="0"/>
              <w:bidi/>
              <w:spacing w:after="0" w:line="360" w:lineRule="auto"/>
              <w:ind w:left="885" w:hanging="885"/>
              <w:jc w:val="both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E47BBA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المقدمة: </w:t>
            </w:r>
            <w:r w:rsidRPr="00E47BB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كسور</w:t>
            </w:r>
            <w:r w:rsidRPr="00E47BBA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حلقة</w:t>
            </w:r>
            <w:r w:rsidRPr="00E47BB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الحوض</w:t>
            </w:r>
            <w:r w:rsidRPr="00E47BBA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من الكسورال</w:t>
            </w:r>
            <w:r w:rsidRPr="00E47BB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شائعة</w:t>
            </w:r>
            <w:r w:rsidRPr="00E47BBA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الحدوث، و</w:t>
            </w:r>
            <w:r w:rsidRPr="00E47BB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تمثل تحديًا في تثبيتها. </w:t>
            </w:r>
            <w:r w:rsidRPr="00E47BBA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و</w:t>
            </w:r>
            <w:r w:rsidRPr="00E47BB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يبدو أن الطلاء</w:t>
            </w:r>
            <w:r w:rsidRPr="00E47BBA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(التثبيت)</w:t>
            </w:r>
            <w:r w:rsidRPr="00E47BB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الأمامي ل</w:t>
            </w:r>
            <w:r w:rsidRPr="00E47BBA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ل</w:t>
            </w:r>
            <w:r w:rsidRPr="00E47BB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مفصل العجزي ال</w:t>
            </w:r>
            <w:r w:rsidRPr="00E47BBA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حرقفي يؤدي إلي </w:t>
            </w:r>
            <w:r w:rsidRPr="00E47BB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نتائج جيدة ومعدل مضاعفات أقل بالمقارنة مع طرق</w:t>
            </w:r>
            <w:r w:rsidRPr="00E47BBA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التثبيت</w:t>
            </w:r>
            <w:r w:rsidRPr="00E47BB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الأخرى</w:t>
            </w:r>
            <w:r w:rsidRPr="00E47BBA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. </w:t>
            </w:r>
          </w:p>
          <w:p w14:paraId="1558AA19" w14:textId="77777777" w:rsidR="00E47BBA" w:rsidRPr="00E47BBA" w:rsidRDefault="00E47BBA" w:rsidP="00E47BBA">
            <w:pPr>
              <w:widowControl w:val="0"/>
              <w:bidi/>
              <w:spacing w:after="0" w:line="360" w:lineRule="auto"/>
              <w:ind w:left="885" w:hanging="885"/>
              <w:jc w:val="both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E47BBA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الهدف من الدراسة: </w:t>
            </w:r>
            <w:r w:rsidRPr="00E47BB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تقييم نتائج العلاج الجراحي لكسور حلقة الحوض غير المستقرة مع تثبيت المفصل العجزي الحرقفي </w:t>
            </w:r>
            <w:r w:rsidRPr="00E47BBA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ب</w:t>
            </w:r>
            <w:r w:rsidRPr="00E47BB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الطلاء الأمامي ، وتقييم النتائج سريريًا وإشعاعيًا</w:t>
            </w:r>
            <w:r w:rsidRPr="00E47BBA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. </w:t>
            </w:r>
          </w:p>
          <w:p w14:paraId="058241F9" w14:textId="77777777" w:rsidR="00E47BBA" w:rsidRPr="00E47BBA" w:rsidRDefault="00E47BBA" w:rsidP="00E47BBA">
            <w:pPr>
              <w:widowControl w:val="0"/>
              <w:bidi/>
              <w:spacing w:after="0" w:line="360" w:lineRule="auto"/>
              <w:ind w:left="885" w:hanging="885"/>
              <w:jc w:val="both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E47BBA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المرضي وطرق البحث:</w:t>
            </w:r>
            <w:r w:rsidRPr="00E47BBA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أجريت الدراسة بمشاركة </w:t>
            </w:r>
            <w:r w:rsidRPr="00E47BB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خمسة عشر مريضا </w:t>
            </w:r>
            <w:r w:rsidRPr="00E47BBA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من ذوي</w:t>
            </w:r>
            <w:r w:rsidRPr="00E47BB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كسور حلقة الحوض غير </w:t>
            </w:r>
            <w:r w:rsidRPr="00E47BBA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ال</w:t>
            </w:r>
            <w:r w:rsidRPr="00E47BB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مستقرة. </w:t>
            </w:r>
            <w:r w:rsidRPr="00E47BBA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و</w:t>
            </w:r>
            <w:r w:rsidRPr="00E47BB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خضع </w:t>
            </w:r>
            <w:r w:rsidRPr="00E47BBA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ال</w:t>
            </w:r>
            <w:r w:rsidRPr="00E47BB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جميع</w:t>
            </w:r>
            <w:r w:rsidRPr="00E47BBA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لاستقراء </w:t>
            </w:r>
            <w:r w:rsidRPr="00E47BB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التاريخ</w:t>
            </w:r>
            <w:r w:rsidRPr="00E47BBA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المرضي كاملا، </w:t>
            </w:r>
            <w:r w:rsidRPr="00E47BB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والتقييم السريري والإشعاعي و</w:t>
            </w:r>
            <w:r w:rsidRPr="00E47BBA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تم تجهيز المرضي </w:t>
            </w:r>
            <w:r w:rsidRPr="00E47BB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من أجل</w:t>
            </w:r>
            <w:r w:rsidRPr="00E47BBA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تثبيت المفصل العجزي الحرقفي ب</w:t>
            </w:r>
            <w:r w:rsidRPr="00E47BB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الطلاء الأمامي للمفص</w:t>
            </w:r>
            <w:r w:rsidRPr="00E47BBA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ل</w:t>
            </w:r>
            <w:r w:rsidRPr="00E47BB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. </w:t>
            </w:r>
            <w:r w:rsidRPr="00E47BBA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و</w:t>
            </w:r>
            <w:r w:rsidRPr="00E47BB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تمت متابعة </w:t>
            </w:r>
            <w:r w:rsidRPr="00E47BBA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ال</w:t>
            </w:r>
            <w:r w:rsidRPr="00E47BB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جميع لمدة 15 شهرا على الأقل بعد ال</w:t>
            </w:r>
            <w:r w:rsidRPr="00E47BBA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تدخل</w:t>
            </w:r>
            <w:r w:rsidRPr="00E47BB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الجراحي.</w:t>
            </w:r>
          </w:p>
          <w:p w14:paraId="7129AC78" w14:textId="77777777" w:rsidR="00E47BBA" w:rsidRPr="00E47BBA" w:rsidRDefault="00E47BBA" w:rsidP="00E47BBA">
            <w:pPr>
              <w:widowControl w:val="0"/>
              <w:bidi/>
              <w:spacing w:after="0" w:line="360" w:lineRule="auto"/>
              <w:ind w:left="885" w:hanging="885"/>
              <w:jc w:val="both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E47BBA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النتائج: </w:t>
            </w:r>
            <w:r w:rsidRPr="00E47BBA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بالفحص الإشعاعي، تبين ناح التثبيت تشريحيا </w:t>
            </w:r>
            <w:r w:rsidRPr="00E47BB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لدى 53.3٪، </w:t>
            </w:r>
            <w:r w:rsidRPr="00E47BBA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بينما كان التثيبت متوسطا لدي</w:t>
            </w:r>
            <w:r w:rsidRPr="00E47BB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20.0٪ و 26.7٪ كان لديهم نتائج تشريحية تقريبًا. </w:t>
            </w:r>
            <w:r w:rsidRPr="00E47BBA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وعلي المستوي الإكلينيكي (ال</w:t>
            </w:r>
            <w:r w:rsidRPr="00E47BB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سريري</w:t>
            </w:r>
            <w:r w:rsidRPr="00E47BBA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)</w:t>
            </w:r>
            <w:r w:rsidRPr="00E47BB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، تم </w:t>
            </w:r>
            <w:r w:rsidRPr="00E47BBA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بلغت نسبة</w:t>
            </w:r>
            <w:r w:rsidRPr="00E47BB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الرضا 80.0 ٪. </w:t>
            </w:r>
            <w:r w:rsidRPr="00E47BBA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و</w:t>
            </w:r>
            <w:r w:rsidRPr="00E47BB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تم تحقيق </w:t>
            </w:r>
            <w:r w:rsidRPr="00E47BBA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الالتئام لدي </w:t>
            </w:r>
            <w:r w:rsidRPr="00E47BB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86.7 ٪ ولم يبلغ عن أي مضاعفات </w:t>
            </w:r>
            <w:r w:rsidRPr="00E47BBA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لدي</w:t>
            </w:r>
            <w:r w:rsidRPr="00E47BB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80.0 ٪</w:t>
            </w:r>
            <w:r w:rsidRPr="00E47BBA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من ا لمرضي</w:t>
            </w:r>
            <w:r w:rsidRPr="00E47BB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. وارتبطت المضاعفات بشكل كبير مع نتائج غير م</w:t>
            </w:r>
            <w:r w:rsidRPr="00E47BBA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ُ</w:t>
            </w:r>
            <w:r w:rsidRPr="00E47BB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رضية ، وارتبطت النتيجة الإشعاعية بشكل كبير مع تصنيف </w:t>
            </w:r>
            <w:r w:rsidRPr="00E47BBA">
              <w:rPr>
                <w:rFonts w:ascii="Times New Roman" w:eastAsia="Calibri" w:hAnsi="Times New Roman" w:cs="Times New Roman"/>
                <w:sz w:val="24"/>
                <w:szCs w:val="24"/>
              </w:rPr>
              <w:t>AO-OTA</w:t>
            </w:r>
            <w:r w:rsidRPr="00E47BBA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. </w:t>
            </w:r>
          </w:p>
          <w:p w14:paraId="66CA6E94" w14:textId="77777777" w:rsidR="00E47BBA" w:rsidRPr="00E47BBA" w:rsidRDefault="00E47BBA" w:rsidP="00E47BBA">
            <w:pPr>
              <w:widowControl w:val="0"/>
              <w:bidi/>
              <w:spacing w:after="0" w:line="360" w:lineRule="auto"/>
              <w:ind w:left="885" w:hanging="8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BBA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الخلاصة:</w:t>
            </w:r>
            <w:r w:rsidRPr="00E47BBA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E47BB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يعد طلاء الحوض الأمامي مع </w:t>
            </w:r>
            <w:r w:rsidRPr="00E47BBA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ال</w:t>
            </w:r>
            <w:r w:rsidRPr="00E47BB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تثبيت </w:t>
            </w:r>
            <w:r w:rsidRPr="00E47BBA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بالشرائح والمسامير ل</w:t>
            </w:r>
            <w:r w:rsidRPr="00E47BB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لمفصل العجزي الحرقفي عن طريق الجلد علاجًا فعالًا لكسور حلقات الحوض غير المستقرة مع نسبة نجاح عالية ومضاعفات منخفضة</w:t>
            </w:r>
          </w:p>
        </w:tc>
      </w:tr>
    </w:tbl>
    <w:p w14:paraId="669D577E" w14:textId="77777777" w:rsidR="00E47BBA" w:rsidRPr="00E47BBA" w:rsidRDefault="00E47BBA" w:rsidP="00E47BBA">
      <w:pPr>
        <w:widowControl w:val="0"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14:paraId="3D3269CB" w14:textId="77777777" w:rsidR="00E47BBA" w:rsidRPr="00E47BBA" w:rsidRDefault="00E47BBA" w:rsidP="00E47BBA">
      <w:pPr>
        <w:widowControl w:val="0"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52117599" w14:textId="77777777" w:rsidR="00E47BBA" w:rsidRPr="00E47BBA" w:rsidRDefault="00E47BBA" w:rsidP="00E47BBA">
      <w:pPr>
        <w:widowControl w:val="0"/>
        <w:bidi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EG"/>
        </w:rPr>
      </w:pPr>
      <w:r w:rsidRPr="00E47BBA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الكلمات المفتاحية: </w:t>
      </w:r>
      <w:r w:rsidRPr="00E47BB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الكسور، حلقة الحوض، التثبيت، الأمامي، الشريحة. </w:t>
      </w:r>
    </w:p>
    <w:p w14:paraId="02D95B28" w14:textId="77777777" w:rsidR="00E47BBA" w:rsidRPr="00E47BBA" w:rsidRDefault="00E47BBA" w:rsidP="00E47BBA">
      <w:pPr>
        <w:widowControl w:val="0"/>
        <w:bidi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sz w:val="20"/>
          <w:szCs w:val="20"/>
          <w:lang w:bidi="ar-EG"/>
        </w:rPr>
      </w:pPr>
      <w:r w:rsidRPr="00E47BBA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>هذه مقالة مفتوحة المصدر تحت رخصة المشاع الإبداعي (</w:t>
      </w:r>
      <w:r w:rsidRPr="00E47BBA">
        <w:rPr>
          <w:rFonts w:ascii="Times New Roman" w:eastAsia="Calibri" w:hAnsi="Times New Roman" w:cs="Times New Roman"/>
          <w:sz w:val="20"/>
          <w:szCs w:val="20"/>
          <w:lang w:bidi="ar-EG"/>
        </w:rPr>
        <w:t>CC BY</w:t>
      </w:r>
      <w:r w:rsidRPr="00E47BBA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 xml:space="preserve">) </w:t>
      </w:r>
      <w:r w:rsidRPr="00E47BBA">
        <w:rPr>
          <w:rFonts w:ascii="Times New Roman" w:eastAsia="Calibri" w:hAnsi="Times New Roman" w:cs="Times New Roman" w:hint="cs"/>
          <w:sz w:val="20"/>
          <w:szCs w:val="20"/>
          <w:rtl/>
          <w:lang w:bidi="ar-EG"/>
        </w:rPr>
        <w:t>الاصدار الثاني</w:t>
      </w:r>
      <w:r w:rsidRPr="00E47BBA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 xml:space="preserve"> </w:t>
      </w:r>
      <w:r w:rsidRPr="00E47BBA">
        <w:rPr>
          <w:rFonts w:ascii="Times New Roman" w:eastAsia="Calibri" w:hAnsi="Times New Roman" w:cs="Times New Roman"/>
          <w:sz w:val="20"/>
          <w:szCs w:val="20"/>
          <w:lang w:bidi="ar-EG"/>
        </w:rPr>
        <w:t>[https://creativecommons.org/licenses/by/2.0/]</w:t>
      </w:r>
    </w:p>
    <w:p w14:paraId="4FC9DC16" w14:textId="3F9DEC15" w:rsidR="00EB301A" w:rsidRDefault="00EB301A" w:rsidP="00B22D62">
      <w:bookmarkStart w:id="0" w:name="_GoBack"/>
      <w:bookmarkEnd w:id="0"/>
    </w:p>
    <w:sectPr w:rsidR="00EB3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BA"/>
    <w:rsid w:val="005B7681"/>
    <w:rsid w:val="009E5869"/>
    <w:rsid w:val="00B22D62"/>
    <w:rsid w:val="00E47BBA"/>
    <w:rsid w:val="00EB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9444A"/>
  <w15:chartTrackingRefBased/>
  <w15:docId w15:val="{FBB031E3-54A8-460F-B9E4-53D0C24C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marfathy1@domazhermedicine.edu.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Mahmoud</dc:creator>
  <cp:keywords/>
  <dc:description/>
  <cp:lastModifiedBy>Dr Mahmoud</cp:lastModifiedBy>
  <cp:revision>2</cp:revision>
  <dcterms:created xsi:type="dcterms:W3CDTF">2020-02-09T21:40:00Z</dcterms:created>
  <dcterms:modified xsi:type="dcterms:W3CDTF">2020-02-09T21:41:00Z</dcterms:modified>
</cp:coreProperties>
</file>