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35F71" w14:textId="77777777" w:rsidR="00AF660D" w:rsidRPr="00AF660D" w:rsidRDefault="00AF660D" w:rsidP="00AF660D">
      <w:pPr>
        <w:widowControl w:val="0"/>
        <w:bidi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F660D">
        <w:rPr>
          <w:rFonts w:ascii="Times New Roman" w:eastAsia="Calibri" w:hAnsi="Times New Roman" w:cs="Times New Roman"/>
          <w:b/>
          <w:bCs/>
          <w:sz w:val="24"/>
          <w:szCs w:val="24"/>
          <w:rtl/>
        </w:rPr>
        <w:t>المجلة الدولية للفنون الطبي</w:t>
      </w:r>
      <w:bookmarkStart w:id="0" w:name="_GoBack"/>
      <w:bookmarkEnd w:id="0"/>
      <w:r w:rsidRPr="00AF660D">
        <w:rPr>
          <w:rFonts w:ascii="Times New Roman" w:eastAsia="Calibri" w:hAnsi="Times New Roman" w:cs="Times New Roman"/>
          <w:b/>
          <w:bCs/>
          <w:sz w:val="24"/>
          <w:szCs w:val="24"/>
          <w:rtl/>
        </w:rPr>
        <w:t>ة، المجلد الثاني، العدد الأول، يناير 2020، الصفحات 292- 300</w:t>
      </w:r>
    </w:p>
    <w:tbl>
      <w:tblPr>
        <w:tblW w:w="5000" w:type="pct"/>
        <w:tblBorders>
          <w:top w:val="thinThickSmallGap" w:sz="24" w:space="0" w:color="538135"/>
          <w:bottom w:val="thinThickSmallGap" w:sz="24" w:space="0" w:color="538135"/>
        </w:tblBorders>
        <w:tblLook w:val="04A0" w:firstRow="1" w:lastRow="0" w:firstColumn="1" w:lastColumn="0" w:noHBand="0" w:noVBand="1"/>
      </w:tblPr>
      <w:tblGrid>
        <w:gridCol w:w="1937"/>
        <w:gridCol w:w="5592"/>
        <w:gridCol w:w="1831"/>
      </w:tblGrid>
      <w:tr w:rsidR="00AF660D" w:rsidRPr="00AF660D" w14:paraId="68E62B6E" w14:textId="77777777" w:rsidTr="0054732C">
        <w:trPr>
          <w:trHeight w:val="1961"/>
        </w:trPr>
        <w:tc>
          <w:tcPr>
            <w:tcW w:w="1035" w:type="pct"/>
            <w:shd w:val="clear" w:color="auto" w:fill="auto"/>
            <w:vAlign w:val="center"/>
          </w:tcPr>
          <w:p w14:paraId="07F167FE" w14:textId="77777777" w:rsidR="00AF660D" w:rsidRPr="00AF660D" w:rsidRDefault="00AF660D" w:rsidP="00AF66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60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D4BEEFB" wp14:editId="451BFA36">
                  <wp:extent cx="1054735" cy="1123627"/>
                  <wp:effectExtent l="0" t="0" r="0" b="635"/>
                  <wp:docPr id="45" name="Picture 1" descr="F:\IJMA-2019\covers\1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IJMA-2019\covers\11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113" cy="1134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7" w:type="pct"/>
            <w:shd w:val="clear" w:color="auto" w:fill="auto"/>
          </w:tcPr>
          <w:p w14:paraId="532F2B00" w14:textId="77777777" w:rsidR="00AF660D" w:rsidRPr="00AF660D" w:rsidRDefault="00AF660D" w:rsidP="00AF660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39193E3" w14:textId="77777777" w:rsidR="00AF660D" w:rsidRPr="00AF660D" w:rsidRDefault="00AF660D" w:rsidP="00AF66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</w:pPr>
            <w:r w:rsidRPr="00AF660D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متاح علي الموقع الالكتروني للمجلة </w:t>
            </w:r>
          </w:p>
          <w:p w14:paraId="12E35318" w14:textId="77777777" w:rsidR="00AF660D" w:rsidRPr="00AF660D" w:rsidRDefault="00AF660D" w:rsidP="00AF66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60D">
              <w:rPr>
                <w:rFonts w:ascii="Times New Roman" w:eastAsia="Calibri" w:hAnsi="Times New Roman" w:cs="Times New Roman"/>
                <w:sz w:val="24"/>
                <w:szCs w:val="24"/>
              </w:rPr>
              <w:t>https://ijma.journals.ekb.eg/</w:t>
            </w:r>
          </w:p>
          <w:p w14:paraId="35F77B36" w14:textId="77777777" w:rsidR="00AF660D" w:rsidRPr="00AF660D" w:rsidRDefault="00AF660D" w:rsidP="00AF66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  <w:shd w:val="clear" w:color="auto" w:fill="auto"/>
            <w:vAlign w:val="center"/>
          </w:tcPr>
          <w:p w14:paraId="723EA8FF" w14:textId="77777777" w:rsidR="00AF660D" w:rsidRPr="00AF660D" w:rsidRDefault="00AF660D" w:rsidP="00AF66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60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D5ABA17" wp14:editId="7CA1E157">
                  <wp:extent cx="948582" cy="1162060"/>
                  <wp:effectExtent l="0" t="0" r="4445" b="0"/>
                  <wp:docPr id="47" name="Picture 47" descr="F:\IJMA-2019\imhot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IJMA-2019\imhote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333" cy="1198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11D1145" w14:textId="77777777" w:rsidR="00AF660D" w:rsidRPr="00AF660D" w:rsidRDefault="00AF660D" w:rsidP="00AF660D">
      <w:pPr>
        <w:widowControl w:val="0"/>
        <w:bidi/>
        <w:spacing w:after="0" w:line="240" w:lineRule="auto"/>
        <w:rPr>
          <w:rFonts w:ascii="Times New Roman" w:eastAsia="Calibri" w:hAnsi="Times New Roman" w:cs="Times New Roman"/>
          <w:b/>
          <w:bCs/>
          <w:color w:val="002060"/>
          <w:sz w:val="24"/>
          <w:szCs w:val="24"/>
        </w:rPr>
      </w:pPr>
      <w:r w:rsidRPr="00AF660D">
        <w:rPr>
          <w:rFonts w:ascii="Times New Roman" w:eastAsia="Calibri" w:hAnsi="Times New Roman" w:cs="Times New Roman"/>
          <w:b/>
          <w:bCs/>
          <w:color w:val="002060"/>
          <w:sz w:val="24"/>
          <w:szCs w:val="24"/>
          <w:rtl/>
        </w:rPr>
        <w:t>مقالة أصيلة</w:t>
      </w:r>
    </w:p>
    <w:p w14:paraId="332C7D00" w14:textId="77777777" w:rsidR="00AF660D" w:rsidRPr="00AF660D" w:rsidRDefault="00AF660D" w:rsidP="00AF660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"/>
          <w:szCs w:val="4"/>
        </w:rPr>
      </w:pPr>
    </w:p>
    <w:p w14:paraId="4CC44948" w14:textId="77777777" w:rsidR="00AF660D" w:rsidRPr="00AF660D" w:rsidRDefault="00AF660D" w:rsidP="00AF660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EG"/>
        </w:rPr>
      </w:pPr>
      <w:r w:rsidRPr="00AF660D">
        <w:rPr>
          <w:rFonts w:ascii="Times New Roman" w:eastAsia="Calibri" w:hAnsi="Times New Roman" w:cs="Times New Roman"/>
          <w:b/>
          <w:bCs/>
          <w:sz w:val="28"/>
          <w:szCs w:val="28"/>
          <w:rtl/>
        </w:rPr>
        <w:t>دراسة مقارنة بين البيثيدين والجرانيسترون والترامادول في الوقاية من الارتعاش</w:t>
      </w:r>
      <w:r w:rsidRPr="00AF660D">
        <w:rPr>
          <w:rFonts w:ascii="Times New Roman" w:eastAsia="Calibri" w:hAnsi="Times New Roman" w:cs="Times New Roman" w:hint="cs"/>
          <w:b/>
          <w:bCs/>
          <w:sz w:val="28"/>
          <w:szCs w:val="28"/>
          <w:rtl/>
        </w:rPr>
        <w:t xml:space="preserve"> حول  العمليات </w:t>
      </w:r>
      <w:r w:rsidRPr="00AF660D">
        <w:rPr>
          <w:rFonts w:ascii="Times New Roman" w:eastAsia="Calibri" w:hAnsi="Times New Roman" w:cs="Times New Roman"/>
          <w:b/>
          <w:bCs/>
          <w:sz w:val="28"/>
          <w:szCs w:val="28"/>
          <w:rtl/>
        </w:rPr>
        <w:t xml:space="preserve">الجراحة بعد التخدير </w:t>
      </w:r>
      <w:r w:rsidRPr="00AF660D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EG"/>
        </w:rPr>
        <w:t>الشوكي (النصفي)</w:t>
      </w:r>
    </w:p>
    <w:p w14:paraId="213C38A8" w14:textId="77777777" w:rsidR="00AF660D" w:rsidRPr="00AF660D" w:rsidRDefault="00AF660D" w:rsidP="00AF660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EG"/>
        </w:rPr>
      </w:pPr>
      <w:r w:rsidRPr="00AF660D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EG"/>
        </w:rPr>
        <w:t>يسري عبدالسلام</w:t>
      </w:r>
    </w:p>
    <w:p w14:paraId="1E565548" w14:textId="77777777" w:rsidR="00AF660D" w:rsidRPr="00AF660D" w:rsidRDefault="00AF660D" w:rsidP="00AF660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4"/>
          <w:szCs w:val="4"/>
          <w:rtl/>
        </w:rPr>
      </w:pPr>
    </w:p>
    <w:p w14:paraId="7112733C" w14:textId="77777777" w:rsidR="00AF660D" w:rsidRPr="00AF660D" w:rsidRDefault="00AF660D" w:rsidP="00AF660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4"/>
          <w:szCs w:val="4"/>
          <w:rtl/>
        </w:rPr>
      </w:pPr>
    </w:p>
    <w:p w14:paraId="6BDBBAF5" w14:textId="77777777" w:rsidR="00AF660D" w:rsidRPr="00AF660D" w:rsidRDefault="00AF660D" w:rsidP="00AF660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4"/>
          <w:szCs w:val="4"/>
          <w:rtl/>
        </w:rPr>
      </w:pPr>
    </w:p>
    <w:p w14:paraId="67A03413" w14:textId="77777777" w:rsidR="00AF660D" w:rsidRPr="00AF660D" w:rsidRDefault="00AF660D" w:rsidP="00AF660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4"/>
          <w:szCs w:val="4"/>
          <w:rtl/>
        </w:rPr>
      </w:pPr>
    </w:p>
    <w:p w14:paraId="07FAAC79" w14:textId="77777777" w:rsidR="00AF660D" w:rsidRPr="00AF660D" w:rsidRDefault="00AF660D" w:rsidP="00AF660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4"/>
          <w:szCs w:val="4"/>
          <w:rtl/>
        </w:rPr>
      </w:pPr>
    </w:p>
    <w:p w14:paraId="36B76331" w14:textId="77777777" w:rsidR="00AF660D" w:rsidRPr="00AF660D" w:rsidRDefault="00AF660D" w:rsidP="00AF660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4"/>
          <w:szCs w:val="4"/>
        </w:rPr>
      </w:pPr>
    </w:p>
    <w:p w14:paraId="34652259" w14:textId="77777777" w:rsidR="00AF660D" w:rsidRPr="00AF660D" w:rsidRDefault="00AF660D" w:rsidP="00AF660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"/>
          <w:szCs w:val="2"/>
        </w:rPr>
      </w:pPr>
    </w:p>
    <w:p w14:paraId="26E3781D" w14:textId="77777777" w:rsidR="00AF660D" w:rsidRPr="00AF660D" w:rsidRDefault="00AF660D" w:rsidP="00AF660D">
      <w:pPr>
        <w:widowControl w:val="0"/>
        <w:bidi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6"/>
          <w:szCs w:val="6"/>
        </w:rPr>
      </w:pPr>
      <w:r w:rsidRPr="00AF660D">
        <w:rPr>
          <w:rFonts w:ascii="Times New Roman" w:eastAsia="Calibri" w:hAnsi="Times New Roman" w:cs="Times New Roman"/>
          <w:sz w:val="20"/>
          <w:szCs w:val="20"/>
          <w:rtl/>
        </w:rPr>
        <w:t>قسم التخدير والعناية المركزة ، كلية الطب بدمياط ، جامعة الأزهر ، مصر</w:t>
      </w:r>
    </w:p>
    <w:p w14:paraId="7F83CAD2" w14:textId="77777777" w:rsidR="00AF660D" w:rsidRPr="00AF660D" w:rsidRDefault="00AF660D" w:rsidP="00AF660D">
      <w:pPr>
        <w:widowControl w:val="0"/>
        <w:bidi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rtl/>
        </w:rPr>
      </w:pPr>
      <w:r w:rsidRPr="00AF660D">
        <w:rPr>
          <w:rFonts w:ascii="Times New Roman" w:eastAsia="Calibri" w:hAnsi="Times New Roman" w:cs="Times New Roman"/>
          <w:b/>
          <w:bCs/>
          <w:sz w:val="20"/>
          <w:szCs w:val="20"/>
          <w:rtl/>
        </w:rPr>
        <w:t>البريد الالكتروني:</w:t>
      </w:r>
      <w:r w:rsidRPr="00AF660D">
        <w:rPr>
          <w:rFonts w:ascii="Times New Roman" w:eastAsia="Calibri" w:hAnsi="Times New Roman" w:cs="Times New Roman" w:hint="cs"/>
          <w:b/>
          <w:bCs/>
          <w:sz w:val="20"/>
          <w:szCs w:val="20"/>
          <w:rtl/>
        </w:rPr>
        <w:t xml:space="preserve"> </w:t>
      </w:r>
      <w:r w:rsidRPr="00AF660D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 yousry.abdelsalam@domazhermedicine.edu.eg</w:t>
      </w:r>
    </w:p>
    <w:p w14:paraId="7E08D5C4" w14:textId="77777777" w:rsidR="00AF660D" w:rsidRPr="00AF660D" w:rsidRDefault="00AF660D" w:rsidP="00AF660D">
      <w:pPr>
        <w:bidi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rtl/>
        </w:rPr>
      </w:pPr>
      <w:r w:rsidRPr="00AF660D">
        <w:rPr>
          <w:rFonts w:ascii="Times New Roman" w:eastAsia="Calibri" w:hAnsi="Times New Roman" w:cs="Times New Roman"/>
          <w:sz w:val="20"/>
          <w:szCs w:val="20"/>
          <w:rtl/>
          <w:lang w:bidi="ar-EG"/>
        </w:rPr>
        <w:t xml:space="preserve">المعرف الرقمي للمقالة: </w:t>
      </w:r>
      <w:r w:rsidRPr="00AF660D">
        <w:rPr>
          <w:rFonts w:ascii="Times New Roman" w:eastAsia="Calibri" w:hAnsi="Times New Roman" w:cs="Times New Roman"/>
          <w:sz w:val="20"/>
          <w:szCs w:val="20"/>
          <w:lang w:bidi="ar-EG"/>
        </w:rPr>
        <w:t>10.21608/ijma.2020.19679.1044</w:t>
      </w:r>
    </w:p>
    <w:p w14:paraId="33FDCD98" w14:textId="77777777" w:rsidR="00AF660D" w:rsidRPr="00AF660D" w:rsidRDefault="00AF660D" w:rsidP="00AF660D">
      <w:pPr>
        <w:bidi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F660D">
        <w:rPr>
          <w:rFonts w:ascii="Times New Roman" w:eastAsia="Calibri" w:hAnsi="Times New Roman" w:cs="Times New Roman"/>
          <w:sz w:val="18"/>
          <w:szCs w:val="18"/>
          <w:rtl/>
        </w:rPr>
        <w:t>تاريخ الاستلام:</w:t>
      </w:r>
      <w:r w:rsidRPr="00AF660D">
        <w:rPr>
          <w:rFonts w:ascii="Times New Roman" w:eastAsia="Calibri" w:hAnsi="Times New Roman" w:cs="Times New Roman" w:hint="cs"/>
          <w:sz w:val="18"/>
          <w:szCs w:val="18"/>
          <w:rtl/>
        </w:rPr>
        <w:t xml:space="preserve"> 16- 11- 2019، تاريخ المراجعة: 1-2-2020، تاريخ القبول للنشر: 1-2-2020، تاريخ الرفع علي الموقع الالكتروني: 1-2-2020.</w:t>
      </w:r>
      <w:r w:rsidRPr="00AF660D">
        <w:rPr>
          <w:rFonts w:ascii="Times New Roman" w:eastAsia="Calibri" w:hAnsi="Times New Roman" w:cs="Times New Roman"/>
          <w:sz w:val="18"/>
          <w:szCs w:val="18"/>
          <w:rtl/>
        </w:rPr>
        <w:t xml:space="preserve"> </w:t>
      </w:r>
    </w:p>
    <w:p w14:paraId="2AC510C5" w14:textId="77777777" w:rsidR="00AF660D" w:rsidRPr="00AF660D" w:rsidRDefault="00AF660D" w:rsidP="00AF660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  <w:rtl/>
        </w:rPr>
      </w:pPr>
    </w:p>
    <w:p w14:paraId="65211328" w14:textId="77777777" w:rsidR="00AF660D" w:rsidRPr="00AF660D" w:rsidRDefault="00AF660D" w:rsidP="00AF660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8"/>
        </w:rPr>
      </w:pPr>
    </w:p>
    <w:p w14:paraId="40E8CB36" w14:textId="77777777" w:rsidR="00AF660D" w:rsidRPr="00AF660D" w:rsidRDefault="00AF660D" w:rsidP="00AF660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2E74B5"/>
          <w:sz w:val="20"/>
          <w:szCs w:val="20"/>
        </w:rPr>
      </w:pPr>
    </w:p>
    <w:p w14:paraId="3DC89CC0" w14:textId="77777777" w:rsidR="00AF660D" w:rsidRPr="00AF660D" w:rsidRDefault="00AF660D" w:rsidP="00AF660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2E74B5"/>
          <w:sz w:val="2"/>
          <w:szCs w:val="2"/>
        </w:rPr>
      </w:pPr>
    </w:p>
    <w:p w14:paraId="54324C30" w14:textId="77777777" w:rsidR="00AF660D" w:rsidRPr="00AF660D" w:rsidRDefault="00AF660D" w:rsidP="00AF660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2E74B5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AF660D" w:rsidRPr="00AF660D" w14:paraId="1A61612E" w14:textId="77777777" w:rsidTr="0054732C">
        <w:tc>
          <w:tcPr>
            <w:tcW w:w="5000" w:type="pct"/>
            <w:tcBorders>
              <w:top w:val="single" w:sz="24" w:space="0" w:color="385623"/>
              <w:left w:val="nil"/>
              <w:bottom w:val="single" w:sz="24" w:space="0" w:color="385623"/>
              <w:right w:val="nil"/>
            </w:tcBorders>
            <w:shd w:val="clear" w:color="auto" w:fill="auto"/>
          </w:tcPr>
          <w:p w14:paraId="28A1B07F" w14:textId="77777777" w:rsidR="00AF660D" w:rsidRPr="00AF660D" w:rsidRDefault="00AF660D" w:rsidP="00AF660D">
            <w:pPr>
              <w:widowControl w:val="0"/>
              <w:spacing w:after="0" w:line="240" w:lineRule="auto"/>
              <w:ind w:left="1173" w:hanging="117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AF660D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الملخص باللغة العربية</w:t>
            </w:r>
          </w:p>
          <w:p w14:paraId="5DFCB08E" w14:textId="77777777" w:rsidR="00AF660D" w:rsidRPr="00AF660D" w:rsidRDefault="00AF660D" w:rsidP="00AF660D">
            <w:pPr>
              <w:widowControl w:val="0"/>
              <w:bidi/>
              <w:spacing w:after="0" w:line="240" w:lineRule="auto"/>
              <w:ind w:left="1173" w:hanging="1173"/>
              <w:jc w:val="both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 w:rsidRPr="00AF660D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 xml:space="preserve">المقدمة: </w:t>
            </w:r>
            <w:r w:rsidRPr="00AF660D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 xml:space="preserve">الاتعاش قبل، أثناء أو بعد (حول) العمليات الجراحية يمثل تحديا وقلقا يواجه أطباء التخدير أثناء ممارسة مهام عملهم اليومية. وقد </w:t>
            </w:r>
            <w:r w:rsidRPr="00AF660D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 xml:space="preserve">تم استخدام العديد من الأدوية كعلاج وقائي، ولكن لم </w:t>
            </w:r>
            <w:r w:rsidRPr="00AF660D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 xml:space="preserve">يتم التوصل إلي </w:t>
            </w:r>
            <w:r w:rsidRPr="00AF660D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>إجماع على الدواء المثالي أو القياسي حتى الآن</w:t>
            </w:r>
            <w:r w:rsidRPr="00AF660D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 xml:space="preserve">. </w:t>
            </w:r>
          </w:p>
          <w:p w14:paraId="420E2F2C" w14:textId="77777777" w:rsidR="00AF660D" w:rsidRPr="00AF660D" w:rsidRDefault="00AF660D" w:rsidP="00AF660D">
            <w:pPr>
              <w:widowControl w:val="0"/>
              <w:bidi/>
              <w:spacing w:after="0" w:line="240" w:lineRule="auto"/>
              <w:ind w:left="1173" w:hanging="1173"/>
              <w:jc w:val="both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 w:rsidRPr="00AF660D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الهدف من الدراسة:</w:t>
            </w:r>
            <w:r w:rsidRPr="00AF660D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 xml:space="preserve"> المقارنة </w:t>
            </w:r>
            <w:r w:rsidRPr="00AF660D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>بين فعالية وسلامة</w:t>
            </w:r>
            <w:r w:rsidRPr="00AF660D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 xml:space="preserve"> (أمان)</w:t>
            </w:r>
            <w:r w:rsidRPr="00AF660D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 xml:space="preserve"> البيثيدين والجراني</w:t>
            </w:r>
            <w:r w:rsidRPr="00AF660D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>س</w:t>
            </w:r>
            <w:r w:rsidRPr="00AF660D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>ترون والترامادول في الوقاية من الرعشة المحيطة بالجراحة بعد التخدير الفق</w:t>
            </w:r>
            <w:r w:rsidRPr="00AF660D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>ا</w:t>
            </w:r>
            <w:r w:rsidRPr="00AF660D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>ري</w:t>
            </w:r>
            <w:r w:rsidRPr="00AF660D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 xml:space="preserve"> (الشوكي)</w:t>
            </w:r>
          </w:p>
          <w:p w14:paraId="353480EE" w14:textId="77777777" w:rsidR="00AF660D" w:rsidRPr="00AF660D" w:rsidRDefault="00AF660D" w:rsidP="00AF660D">
            <w:pPr>
              <w:widowControl w:val="0"/>
              <w:bidi/>
              <w:spacing w:after="0" w:line="240" w:lineRule="auto"/>
              <w:ind w:left="1173" w:hanging="1173"/>
              <w:jc w:val="both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 w:rsidRPr="00AF660D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المرضي وطرق البحث:</w:t>
            </w:r>
            <w:r w:rsidRPr="00AF660D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AF660D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>أدرج ست</w:t>
            </w:r>
            <w:r w:rsidRPr="00AF660D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>و</w:t>
            </w:r>
            <w:r w:rsidRPr="00AF660D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 xml:space="preserve">ن </w:t>
            </w:r>
            <w:r w:rsidRPr="00AF660D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 xml:space="preserve">من </w:t>
            </w:r>
            <w:r w:rsidRPr="00AF660D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>المرضى البالغين</w:t>
            </w:r>
            <w:r w:rsidRPr="00AF660D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 xml:space="preserve"> بالدراسة الحالية، من</w:t>
            </w:r>
            <w:r w:rsidRPr="00AF660D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 xml:space="preserve"> الذين خضعوا للتخدير </w:t>
            </w:r>
            <w:r w:rsidRPr="00AF660D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 xml:space="preserve">النصفي، </w:t>
            </w:r>
            <w:r w:rsidRPr="00AF660D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>تم تعيينهم بشكل عشوائي إلى</w:t>
            </w:r>
            <w:r w:rsidRPr="00AF660D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 xml:space="preserve"> مجموعات</w:t>
            </w:r>
            <w:r w:rsidRPr="00AF660D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 xml:space="preserve"> الجراني</w:t>
            </w:r>
            <w:r w:rsidRPr="00AF660D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>س</w:t>
            </w:r>
            <w:r w:rsidRPr="00AF660D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>ترون ، البيثيدين أو الترامادول (20 في كل مجموعة) ، وتم</w:t>
            </w:r>
            <w:r w:rsidRPr="00AF660D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 xml:space="preserve"> القيام بمتابعتهم </w:t>
            </w:r>
            <w:r w:rsidRPr="00AF660D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>أثناء العملية ولمدة 4 ساعات بعد</w:t>
            </w:r>
            <w:r w:rsidRPr="00AF660D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>ها</w:t>
            </w:r>
            <w:r w:rsidRPr="00AF660D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 xml:space="preserve">. شملت </w:t>
            </w:r>
            <w:r w:rsidRPr="00AF660D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>المتابعة</w:t>
            </w:r>
            <w:r w:rsidRPr="00AF660D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 xml:space="preserve"> رسم القلب، تشبع الأكسجين، معدل التنفس، درجة الحرارة، مستوى </w:t>
            </w:r>
            <w:r w:rsidRPr="00AF660D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>ضغط الدم</w:t>
            </w:r>
            <w:r w:rsidRPr="00AF660D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 xml:space="preserve">، مستوى الوعي ودرجة </w:t>
            </w:r>
            <w:r w:rsidRPr="00AF660D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>التهدئة</w:t>
            </w:r>
            <w:r w:rsidRPr="00AF660D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 xml:space="preserve">. </w:t>
            </w:r>
            <w:r w:rsidRPr="00AF660D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و</w:t>
            </w:r>
            <w:r w:rsidRPr="00AF660D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>تم توثيق الآثار الجانبية</w:t>
            </w:r>
            <w:r w:rsidRPr="00AF660D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>.</w:t>
            </w:r>
          </w:p>
          <w:p w14:paraId="3A42EB0D" w14:textId="77777777" w:rsidR="00AF660D" w:rsidRPr="00AF660D" w:rsidRDefault="00AF660D" w:rsidP="00AF660D">
            <w:pPr>
              <w:widowControl w:val="0"/>
              <w:bidi/>
              <w:spacing w:after="0" w:line="240" w:lineRule="auto"/>
              <w:ind w:left="1173" w:hanging="1173"/>
              <w:jc w:val="both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 w:rsidRPr="00AF660D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 xml:space="preserve">النتائج: </w:t>
            </w:r>
            <w:r w:rsidRPr="00AF660D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>أثناء وبعد الجراحة،</w:t>
            </w:r>
            <w:r w:rsidRPr="00AF660D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F660D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 xml:space="preserve">كان هناك انخفاض </w:t>
            </w:r>
            <w:r w:rsidRPr="00AF660D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>يعتد به إحصائيا</w:t>
            </w:r>
            <w:r w:rsidRPr="00AF660D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 xml:space="preserve"> في معدل ضربات القلب في مجموعات الجراني</w:t>
            </w:r>
            <w:r w:rsidRPr="00AF660D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>س</w:t>
            </w:r>
            <w:r w:rsidRPr="00AF660D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>ترون والترامادول.</w:t>
            </w:r>
            <w:r w:rsidRPr="00AF660D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 xml:space="preserve"> و</w:t>
            </w:r>
            <w:r w:rsidRPr="00AF660D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>انخفض متوسط الضغط الشرياني بشكل ملحوظ في مجموعة الجراني</w:t>
            </w:r>
            <w:r w:rsidRPr="00AF660D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>س</w:t>
            </w:r>
            <w:r w:rsidRPr="00AF660D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 xml:space="preserve">ترون في الوقت من 30 دقيقة إلى نهاية الجراحة وخلال أول ساعتين بعد العملية الجراحية. </w:t>
            </w:r>
            <w:r w:rsidRPr="00AF660D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 xml:space="preserve">بينما </w:t>
            </w:r>
            <w:r w:rsidRPr="00AF660D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 xml:space="preserve">انخفض معدل التنفس بشكل ملحوظ في مجموعة البيثيدين خلال فترة </w:t>
            </w:r>
            <w:r w:rsidRPr="00AF660D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>الجراحة كاملة و</w:t>
            </w:r>
            <w:r w:rsidRPr="00AF660D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 xml:space="preserve">ما بعدها. </w:t>
            </w:r>
            <w:r w:rsidRPr="00AF660D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>و</w:t>
            </w:r>
            <w:r w:rsidRPr="00AF660D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 xml:space="preserve">لم يكن للجرانيسترون أي تأثير مهدئ على الإطلاق، </w:t>
            </w:r>
            <w:r w:rsidRPr="00AF660D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>بينما لوحظ زيادة في التأثير المهديء بدرجة يعتد بها إحصائيا في</w:t>
            </w:r>
            <w:r w:rsidRPr="00AF660D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 xml:space="preserve"> مجموعة البيثيدين.</w:t>
            </w:r>
            <w:r w:rsidRPr="00AF660D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 xml:space="preserve"> و</w:t>
            </w:r>
            <w:r w:rsidRPr="00AF660D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>أخيرًا ، تم الإبلاغ عن ارتعاش حول الجراحة في 25٪ و 15٪ و 15٪ من مجموعات البيثيدين والجراني</w:t>
            </w:r>
            <w:r w:rsidRPr="00AF660D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>س</w:t>
            </w:r>
            <w:r w:rsidRPr="00AF660D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 xml:space="preserve">ترون والترامادول على التوالي. </w:t>
            </w:r>
            <w:r w:rsidRPr="00AF660D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>و</w:t>
            </w:r>
            <w:r w:rsidRPr="00AF660D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>تم الإبلاغ عن الغثيان</w:t>
            </w:r>
            <w:r w:rsidRPr="00AF660D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 xml:space="preserve"> المصحوب أو غير المصحوب ب</w:t>
            </w:r>
            <w:r w:rsidRPr="00AF660D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>القيء في 20 ٪، 10.0 ٪، و 0 ٪ من مجموعات البيثيدين والترامادول والجراني</w:t>
            </w:r>
            <w:r w:rsidRPr="00AF660D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>س</w:t>
            </w:r>
            <w:r w:rsidRPr="00AF660D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 xml:space="preserve">ترون على التوالي. </w:t>
            </w:r>
            <w:r w:rsidRPr="00AF660D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>و</w:t>
            </w:r>
            <w:r w:rsidRPr="00AF660D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>اقتصر</w:t>
            </w:r>
            <w:r w:rsidRPr="00AF660D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>ت</w:t>
            </w:r>
            <w:r w:rsidRPr="00AF660D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 xml:space="preserve"> الحكة على</w:t>
            </w:r>
            <w:r w:rsidRPr="00AF660D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AF660D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 xml:space="preserve">30 ٪ مجموعة البيثيدين مع </w:t>
            </w:r>
            <w:r w:rsidRPr="00AF660D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 xml:space="preserve">وجود فروق ذات دلالة إحصائية بين مجموعات الدراسة. </w:t>
            </w:r>
          </w:p>
          <w:p w14:paraId="34401B3A" w14:textId="77777777" w:rsidR="00AF660D" w:rsidRPr="00AF660D" w:rsidRDefault="00AF660D" w:rsidP="00AF660D">
            <w:pPr>
              <w:widowControl w:val="0"/>
              <w:bidi/>
              <w:spacing w:after="0" w:line="240" w:lineRule="auto"/>
              <w:ind w:left="1173" w:hanging="11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60D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الخلاصة:</w:t>
            </w:r>
            <w:r w:rsidRPr="00AF660D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AF660D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>الجراني</w:t>
            </w:r>
            <w:r w:rsidRPr="00AF660D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>س</w:t>
            </w:r>
            <w:r w:rsidRPr="00AF660D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>ترون</w:t>
            </w:r>
            <w:r w:rsidRPr="00AF660D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 xml:space="preserve"> والترامادول والبيثيدين، كلها فعالة للوقاية من الارتعاش حول العمليات الجراحية وبعد التخدير النصفي. ولكن </w:t>
            </w:r>
            <w:r w:rsidRPr="00AF660D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>الجراني</w:t>
            </w:r>
            <w:r w:rsidRPr="00AF660D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>س</w:t>
            </w:r>
            <w:r w:rsidRPr="00AF660D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>ترون</w:t>
            </w:r>
            <w:r w:rsidRPr="00AF660D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 xml:space="preserve"> يبدو كأكثر هذه الأدوية مناسبة لعلاج مشكلة الارتعاش حول العمليات الجراحية.  </w:t>
            </w:r>
          </w:p>
        </w:tc>
      </w:tr>
    </w:tbl>
    <w:p w14:paraId="24D9E4C6" w14:textId="77777777" w:rsidR="00AF660D" w:rsidRPr="00AF660D" w:rsidRDefault="00AF660D" w:rsidP="00AF660D">
      <w:pPr>
        <w:widowControl w:val="0"/>
        <w:spacing w:after="0" w:line="240" w:lineRule="auto"/>
        <w:ind w:left="597" w:hanging="597"/>
        <w:jc w:val="both"/>
        <w:rPr>
          <w:rFonts w:ascii="Times New Roman" w:eastAsia="Calibri" w:hAnsi="Times New Roman" w:cs="Times New Roman"/>
          <w:b/>
          <w:bCs/>
          <w:sz w:val="10"/>
          <w:szCs w:val="10"/>
        </w:rPr>
      </w:pPr>
    </w:p>
    <w:p w14:paraId="2F4768D2" w14:textId="77777777" w:rsidR="00AF660D" w:rsidRPr="00AF660D" w:rsidRDefault="00AF660D" w:rsidP="00AF660D">
      <w:pPr>
        <w:widowControl w:val="0"/>
        <w:spacing w:after="0" w:line="240" w:lineRule="auto"/>
        <w:ind w:left="597" w:hanging="597"/>
        <w:jc w:val="both"/>
        <w:rPr>
          <w:rFonts w:ascii="Times New Roman" w:eastAsia="Calibri" w:hAnsi="Times New Roman" w:cs="Times New Roman"/>
          <w:sz w:val="8"/>
          <w:szCs w:val="8"/>
        </w:rPr>
      </w:pPr>
    </w:p>
    <w:p w14:paraId="618D0FB6" w14:textId="77777777" w:rsidR="00AF660D" w:rsidRPr="00AF660D" w:rsidRDefault="00AF660D" w:rsidP="00AF660D">
      <w:pPr>
        <w:widowControl w:val="0"/>
        <w:bidi/>
        <w:spacing w:after="0" w:line="240" w:lineRule="auto"/>
        <w:ind w:left="597" w:hanging="597"/>
        <w:jc w:val="both"/>
        <w:rPr>
          <w:rFonts w:ascii="Times New Roman" w:eastAsia="Calibri" w:hAnsi="Times New Roman" w:cs="Times New Roman"/>
          <w:b/>
          <w:bCs/>
          <w:sz w:val="24"/>
          <w:szCs w:val="24"/>
          <w:rtl/>
          <w:lang w:bidi="ar-EG"/>
        </w:rPr>
      </w:pPr>
      <w:r w:rsidRPr="00AF660D">
        <w:rPr>
          <w:rFonts w:ascii="Times New Roman" w:eastAsia="Calibri" w:hAnsi="Times New Roman" w:cs="Times New Roman"/>
          <w:b/>
          <w:bCs/>
          <w:sz w:val="24"/>
          <w:szCs w:val="24"/>
          <w:rtl/>
        </w:rPr>
        <w:t xml:space="preserve">الكلمات المفتاحية: </w:t>
      </w:r>
      <w:r w:rsidRPr="00AF660D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 xml:space="preserve"> </w:t>
      </w:r>
      <w:r w:rsidRPr="00AF660D">
        <w:rPr>
          <w:rFonts w:ascii="Times New Roman" w:eastAsia="Calibri" w:hAnsi="Times New Roman" w:cs="Times New Roman" w:hint="cs"/>
          <w:sz w:val="24"/>
          <w:szCs w:val="24"/>
          <w:rtl/>
        </w:rPr>
        <w:t xml:space="preserve">التخدير الشوكي (النصفي)، التخدير المناطقي، الترامادول، البيثيدين، </w:t>
      </w:r>
      <w:r w:rsidRPr="00AF660D">
        <w:rPr>
          <w:rFonts w:ascii="Times New Roman" w:eastAsia="Calibri" w:hAnsi="Times New Roman" w:cs="Times New Roman"/>
          <w:sz w:val="24"/>
          <w:szCs w:val="24"/>
          <w:rtl/>
        </w:rPr>
        <w:t>الجراني</w:t>
      </w:r>
      <w:r w:rsidRPr="00AF660D">
        <w:rPr>
          <w:rFonts w:ascii="Times New Roman" w:eastAsia="Calibri" w:hAnsi="Times New Roman" w:cs="Times New Roman" w:hint="cs"/>
          <w:sz w:val="24"/>
          <w:szCs w:val="24"/>
          <w:rtl/>
        </w:rPr>
        <w:t>س</w:t>
      </w:r>
      <w:r w:rsidRPr="00AF660D">
        <w:rPr>
          <w:rFonts w:ascii="Times New Roman" w:eastAsia="Calibri" w:hAnsi="Times New Roman" w:cs="Times New Roman"/>
          <w:sz w:val="24"/>
          <w:szCs w:val="24"/>
          <w:rtl/>
        </w:rPr>
        <w:t>ترون</w:t>
      </w:r>
      <w:r w:rsidRPr="00AF660D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 xml:space="preserve"> </w:t>
      </w:r>
    </w:p>
    <w:p w14:paraId="7BA0A7A2" w14:textId="77777777" w:rsidR="00AF660D" w:rsidRPr="00AF660D" w:rsidRDefault="00AF660D" w:rsidP="00AF660D">
      <w:pPr>
        <w:widowControl w:val="0"/>
        <w:bidi/>
        <w:spacing w:after="0" w:line="240" w:lineRule="auto"/>
        <w:ind w:left="597" w:hanging="597"/>
        <w:jc w:val="both"/>
        <w:rPr>
          <w:rFonts w:ascii="Times New Roman" w:eastAsia="Calibri" w:hAnsi="Times New Roman" w:cs="Times New Roman"/>
          <w:sz w:val="20"/>
          <w:szCs w:val="20"/>
          <w:lang w:bidi="ar-EG"/>
        </w:rPr>
      </w:pPr>
      <w:r w:rsidRPr="00AF660D">
        <w:rPr>
          <w:rFonts w:ascii="Times New Roman" w:eastAsia="Calibri" w:hAnsi="Times New Roman" w:cs="Times New Roman"/>
          <w:sz w:val="20"/>
          <w:szCs w:val="20"/>
          <w:rtl/>
          <w:lang w:bidi="ar-EG"/>
        </w:rPr>
        <w:t>هذه مقالة مفتوحة المصدر تحت رخصة المشاع الإبداعي (</w:t>
      </w:r>
      <w:r w:rsidRPr="00AF660D">
        <w:rPr>
          <w:rFonts w:ascii="Times New Roman" w:eastAsia="Calibri" w:hAnsi="Times New Roman" w:cs="Times New Roman"/>
          <w:sz w:val="20"/>
          <w:szCs w:val="20"/>
          <w:lang w:bidi="ar-EG"/>
        </w:rPr>
        <w:t>CC BY</w:t>
      </w:r>
      <w:r w:rsidRPr="00AF660D">
        <w:rPr>
          <w:rFonts w:ascii="Times New Roman" w:eastAsia="Calibri" w:hAnsi="Times New Roman" w:cs="Times New Roman"/>
          <w:sz w:val="20"/>
          <w:szCs w:val="20"/>
          <w:rtl/>
          <w:lang w:bidi="ar-EG"/>
        </w:rPr>
        <w:t xml:space="preserve">) النسخة الثانية </w:t>
      </w:r>
      <w:r w:rsidRPr="00AF660D">
        <w:rPr>
          <w:rFonts w:ascii="Times New Roman" w:eastAsia="Calibri" w:hAnsi="Times New Roman" w:cs="Times New Roman"/>
          <w:sz w:val="20"/>
          <w:szCs w:val="20"/>
          <w:lang w:bidi="ar-EG"/>
        </w:rPr>
        <w:t>[https://creativecommons.org/licenses/by/2.0/]</w:t>
      </w:r>
    </w:p>
    <w:p w14:paraId="3E1ADD2E" w14:textId="77777777" w:rsidR="00EB301A" w:rsidRDefault="00EB301A"/>
    <w:sectPr w:rsidR="00EB30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60D"/>
    <w:rsid w:val="005B7681"/>
    <w:rsid w:val="009E5869"/>
    <w:rsid w:val="00AF660D"/>
    <w:rsid w:val="00EB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4A112"/>
  <w15:chartTrackingRefBased/>
  <w15:docId w15:val="{63EEA31D-64D3-4F7D-A8D2-FA458887A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2308</Characters>
  <Application>Microsoft Office Word</Application>
  <DocSecurity>0</DocSecurity>
  <Lines>19</Lines>
  <Paragraphs>5</Paragraphs>
  <ScaleCrop>false</ScaleCrop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Mahmoud</dc:creator>
  <cp:keywords/>
  <dc:description/>
  <cp:lastModifiedBy>Dr Mahmoud</cp:lastModifiedBy>
  <cp:revision>1</cp:revision>
  <dcterms:created xsi:type="dcterms:W3CDTF">2020-02-09T21:43:00Z</dcterms:created>
  <dcterms:modified xsi:type="dcterms:W3CDTF">2020-02-09T21:43:00Z</dcterms:modified>
</cp:coreProperties>
</file>