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45104" w14:textId="77777777" w:rsidR="00DA4AC3" w:rsidRPr="00DA4AC3" w:rsidRDefault="00DA4AC3" w:rsidP="00DA4AC3">
      <w:pPr>
        <w:widowControl w:val="0"/>
        <w:bidi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Hlk31989891"/>
      <w:r w:rsidRPr="00DA4AC3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المجلة الدولية للفنون الطبية، المجلد الثاني، العدد الأول، يناير 2020، الصفحات 312- 308</w:t>
      </w:r>
    </w:p>
    <w:tbl>
      <w:tblPr>
        <w:tblW w:w="5000" w:type="pct"/>
        <w:tblBorders>
          <w:top w:val="thinThickSmallGap" w:sz="24" w:space="0" w:color="538135"/>
          <w:bottom w:val="thinThickSmallGap" w:sz="24" w:space="0" w:color="538135"/>
        </w:tblBorders>
        <w:tblLook w:val="04A0" w:firstRow="1" w:lastRow="0" w:firstColumn="1" w:lastColumn="0" w:noHBand="0" w:noVBand="1"/>
      </w:tblPr>
      <w:tblGrid>
        <w:gridCol w:w="1937"/>
        <w:gridCol w:w="5592"/>
        <w:gridCol w:w="1831"/>
      </w:tblGrid>
      <w:tr w:rsidR="00DA4AC3" w:rsidRPr="00DA4AC3" w14:paraId="55937DEA" w14:textId="77777777" w:rsidTr="0054732C">
        <w:trPr>
          <w:trHeight w:val="1961"/>
        </w:trPr>
        <w:tc>
          <w:tcPr>
            <w:tcW w:w="1035" w:type="pct"/>
            <w:shd w:val="clear" w:color="auto" w:fill="auto"/>
            <w:vAlign w:val="center"/>
          </w:tcPr>
          <w:p w14:paraId="33350CA7" w14:textId="77777777" w:rsidR="00DA4AC3" w:rsidRPr="00DA4AC3" w:rsidRDefault="00DA4AC3" w:rsidP="00DA4A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4AC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F858FA8" wp14:editId="21E4FD52">
                  <wp:extent cx="1054735" cy="1123627"/>
                  <wp:effectExtent l="0" t="0" r="0" b="635"/>
                  <wp:docPr id="51" name="Picture 1" descr="F:\IJMA-2019\covers\1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IJMA-2019\covers\11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113" cy="1134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7" w:type="pct"/>
            <w:shd w:val="clear" w:color="auto" w:fill="auto"/>
          </w:tcPr>
          <w:p w14:paraId="1533226F" w14:textId="77777777" w:rsidR="00DA4AC3" w:rsidRPr="00DA4AC3" w:rsidRDefault="00DA4AC3" w:rsidP="00DA4AC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BCC5E7" w14:textId="77777777" w:rsidR="00DA4AC3" w:rsidRPr="00DA4AC3" w:rsidRDefault="00DA4AC3" w:rsidP="00DA4A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  <w:r w:rsidRPr="00DA4AC3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متاح علي الموقع الالكتروني للمجلة </w:t>
            </w:r>
          </w:p>
          <w:p w14:paraId="160116FF" w14:textId="77777777" w:rsidR="00DA4AC3" w:rsidRPr="00DA4AC3" w:rsidRDefault="00DA4AC3" w:rsidP="00DA4A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4AC3">
              <w:rPr>
                <w:rFonts w:ascii="Times New Roman" w:eastAsia="Calibri" w:hAnsi="Times New Roman" w:cs="Times New Roman"/>
                <w:sz w:val="24"/>
                <w:szCs w:val="24"/>
              </w:rPr>
              <w:t>https://ijma.journals.ekb.eg/</w:t>
            </w:r>
          </w:p>
          <w:p w14:paraId="42DBF394" w14:textId="77777777" w:rsidR="00DA4AC3" w:rsidRPr="00DA4AC3" w:rsidRDefault="00DA4AC3" w:rsidP="00DA4A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" w:type="pct"/>
            <w:shd w:val="clear" w:color="auto" w:fill="auto"/>
            <w:vAlign w:val="center"/>
          </w:tcPr>
          <w:p w14:paraId="0B1C3E6C" w14:textId="77777777" w:rsidR="00DA4AC3" w:rsidRPr="00DA4AC3" w:rsidRDefault="00DA4AC3" w:rsidP="00DA4A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4AC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8D6EBBB" wp14:editId="181E66F0">
                  <wp:extent cx="948582" cy="1162060"/>
                  <wp:effectExtent l="0" t="0" r="4445" b="0"/>
                  <wp:docPr id="52" name="Picture 52" descr="F:\IJMA-2019\imhote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IJMA-2019\imhote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333" cy="1198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525B31" w14:textId="77777777" w:rsidR="00DA4AC3" w:rsidRPr="00DA4AC3" w:rsidRDefault="00DA4AC3" w:rsidP="00DA4AC3">
      <w:pPr>
        <w:widowControl w:val="0"/>
        <w:bidi/>
        <w:spacing w:after="0" w:line="240" w:lineRule="auto"/>
        <w:rPr>
          <w:rFonts w:ascii="Times New Roman" w:eastAsia="Calibri" w:hAnsi="Times New Roman" w:cs="Times New Roman"/>
          <w:b/>
          <w:bCs/>
          <w:color w:val="002060"/>
          <w:sz w:val="24"/>
          <w:szCs w:val="24"/>
        </w:rPr>
      </w:pPr>
      <w:r w:rsidRPr="00DA4AC3"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:rtl/>
        </w:rPr>
        <w:t>مقالة أصيلة</w:t>
      </w:r>
    </w:p>
    <w:p w14:paraId="708130D4" w14:textId="77777777" w:rsidR="00DA4AC3" w:rsidRPr="00DA4AC3" w:rsidRDefault="00DA4AC3" w:rsidP="00DA4AC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"/>
          <w:szCs w:val="4"/>
        </w:rPr>
      </w:pPr>
    </w:p>
    <w:p w14:paraId="273B208A" w14:textId="77777777" w:rsidR="00DA4AC3" w:rsidRPr="00DA4AC3" w:rsidRDefault="00DA4AC3" w:rsidP="00DA4AC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"/>
          <w:szCs w:val="2"/>
        </w:rPr>
      </w:pPr>
      <w:r w:rsidRPr="00DA4AC3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</w:p>
    <w:p w14:paraId="225C1AC9" w14:textId="77777777" w:rsidR="00DA4AC3" w:rsidRPr="00DA4AC3" w:rsidRDefault="00DA4AC3" w:rsidP="00DA4AC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rtl/>
        </w:rPr>
      </w:pPr>
      <w:r w:rsidRPr="00DA4AC3">
        <w:rPr>
          <w:rFonts w:ascii="Times New Roman" w:eastAsia="Calibri" w:hAnsi="Times New Roman" w:cs="Times New Roman" w:hint="cs"/>
          <w:b/>
          <w:bCs/>
          <w:sz w:val="32"/>
          <w:szCs w:val="32"/>
          <w:rtl/>
        </w:rPr>
        <w:t>الارتباط</w:t>
      </w:r>
      <w:r w:rsidRPr="00DA4AC3">
        <w:rPr>
          <w:rFonts w:ascii="Times New Roman" w:eastAsia="Calibri" w:hAnsi="Times New Roman" w:cs="Times New Roman"/>
          <w:b/>
          <w:bCs/>
          <w:sz w:val="32"/>
          <w:szCs w:val="32"/>
          <w:rtl/>
        </w:rPr>
        <w:t xml:space="preserve"> بين مستوى فيتامين دي و</w:t>
      </w:r>
      <w:r w:rsidRPr="00DA4AC3">
        <w:rPr>
          <w:rFonts w:ascii="Times New Roman" w:eastAsia="Calibri" w:hAnsi="Times New Roman" w:cs="Times New Roman" w:hint="cs"/>
          <w:b/>
          <w:bCs/>
          <w:sz w:val="32"/>
          <w:szCs w:val="32"/>
          <w:rtl/>
        </w:rPr>
        <w:t>اختبارات وظائف التنفس</w:t>
      </w:r>
      <w:r w:rsidRPr="00DA4AC3">
        <w:rPr>
          <w:rFonts w:ascii="Times New Roman" w:eastAsia="Calibri" w:hAnsi="Times New Roman" w:cs="Times New Roman"/>
          <w:b/>
          <w:bCs/>
          <w:sz w:val="32"/>
          <w:szCs w:val="32"/>
          <w:rtl/>
        </w:rPr>
        <w:t xml:space="preserve"> </w:t>
      </w:r>
      <w:r w:rsidRPr="00DA4AC3">
        <w:rPr>
          <w:rFonts w:ascii="Times New Roman" w:eastAsia="Calibri" w:hAnsi="Times New Roman" w:cs="Times New Roman" w:hint="cs"/>
          <w:b/>
          <w:bCs/>
          <w:sz w:val="32"/>
          <w:szCs w:val="32"/>
          <w:rtl/>
        </w:rPr>
        <w:t xml:space="preserve">لدي </w:t>
      </w:r>
      <w:r w:rsidRPr="00DA4AC3">
        <w:rPr>
          <w:rFonts w:ascii="Times New Roman" w:eastAsia="Calibri" w:hAnsi="Times New Roman" w:cs="Times New Roman"/>
          <w:b/>
          <w:bCs/>
          <w:sz w:val="32"/>
          <w:szCs w:val="32"/>
          <w:rtl/>
        </w:rPr>
        <w:t>الأطفال المصابين بالربو ال</w:t>
      </w:r>
      <w:r w:rsidRPr="00DA4AC3">
        <w:rPr>
          <w:rFonts w:ascii="Times New Roman" w:eastAsia="Calibri" w:hAnsi="Times New Roman" w:cs="Times New Roman" w:hint="cs"/>
          <w:b/>
          <w:bCs/>
          <w:sz w:val="32"/>
          <w:szCs w:val="32"/>
          <w:rtl/>
        </w:rPr>
        <w:t>شعبي</w:t>
      </w:r>
    </w:p>
    <w:p w14:paraId="427C63E4" w14:textId="77777777" w:rsidR="00DA4AC3" w:rsidRPr="00DA4AC3" w:rsidRDefault="00DA4AC3" w:rsidP="00DA4AC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vertAlign w:val="superscript"/>
          <w:rtl/>
        </w:rPr>
      </w:pPr>
      <w:r w:rsidRPr="00DA4AC3">
        <w:rPr>
          <w:rFonts w:ascii="Times New Roman" w:eastAsia="Calibri" w:hAnsi="Times New Roman" w:cs="Times New Roman" w:hint="cs"/>
          <w:sz w:val="26"/>
          <w:szCs w:val="26"/>
          <w:rtl/>
        </w:rPr>
        <w:t>مجدي صقر</w:t>
      </w:r>
      <w:r w:rsidRPr="00DA4AC3">
        <w:rPr>
          <w:rFonts w:ascii="Times New Roman" w:eastAsia="Calibri" w:hAnsi="Times New Roman" w:cs="Times New Roman" w:hint="cs"/>
          <w:sz w:val="26"/>
          <w:szCs w:val="26"/>
          <w:vertAlign w:val="superscript"/>
          <w:rtl/>
        </w:rPr>
        <w:t>1</w:t>
      </w:r>
      <w:r w:rsidRPr="00DA4AC3">
        <w:rPr>
          <w:rFonts w:ascii="Times New Roman" w:eastAsia="Calibri" w:hAnsi="Times New Roman" w:cs="Times New Roman" w:hint="cs"/>
          <w:sz w:val="26"/>
          <w:szCs w:val="26"/>
          <w:rtl/>
        </w:rPr>
        <w:t>، محمد السمنودي</w:t>
      </w:r>
      <w:r w:rsidRPr="00DA4AC3">
        <w:rPr>
          <w:rFonts w:ascii="Times New Roman" w:eastAsia="Calibri" w:hAnsi="Times New Roman" w:cs="Times New Roman" w:hint="cs"/>
          <w:sz w:val="26"/>
          <w:szCs w:val="26"/>
          <w:vertAlign w:val="superscript"/>
          <w:rtl/>
        </w:rPr>
        <w:t>1</w:t>
      </w:r>
      <w:r w:rsidRPr="00DA4AC3">
        <w:rPr>
          <w:rFonts w:ascii="Times New Roman" w:eastAsia="Calibri" w:hAnsi="Times New Roman" w:cs="Times New Roman" w:hint="cs"/>
          <w:sz w:val="26"/>
          <w:szCs w:val="26"/>
          <w:rtl/>
        </w:rPr>
        <w:t>، عاطف وهدان الرفاعي</w:t>
      </w:r>
      <w:r w:rsidRPr="00DA4AC3">
        <w:rPr>
          <w:rFonts w:ascii="Times New Roman" w:eastAsia="Calibri" w:hAnsi="Times New Roman" w:cs="Times New Roman" w:hint="cs"/>
          <w:sz w:val="26"/>
          <w:szCs w:val="26"/>
          <w:vertAlign w:val="superscript"/>
          <w:rtl/>
        </w:rPr>
        <w:t>2</w:t>
      </w:r>
      <w:r w:rsidRPr="00DA4AC3">
        <w:rPr>
          <w:rFonts w:ascii="Times New Roman" w:eastAsia="Calibri" w:hAnsi="Times New Roman" w:cs="Times New Roman" w:hint="cs"/>
          <w:sz w:val="26"/>
          <w:szCs w:val="26"/>
          <w:rtl/>
        </w:rPr>
        <w:t>، هشام سمير عبدالسميع</w:t>
      </w:r>
      <w:r w:rsidRPr="00DA4AC3">
        <w:rPr>
          <w:rFonts w:ascii="Times New Roman" w:eastAsia="Calibri" w:hAnsi="Times New Roman" w:cs="Times New Roman" w:hint="cs"/>
          <w:sz w:val="26"/>
          <w:szCs w:val="26"/>
          <w:vertAlign w:val="superscript"/>
          <w:rtl/>
        </w:rPr>
        <w:t>3</w:t>
      </w:r>
      <w:r w:rsidRPr="00DA4AC3">
        <w:rPr>
          <w:rFonts w:ascii="Times New Roman" w:eastAsia="Calibri" w:hAnsi="Times New Roman" w:cs="Times New Roman" w:hint="cs"/>
          <w:sz w:val="26"/>
          <w:szCs w:val="26"/>
          <w:rtl/>
        </w:rPr>
        <w:t>، أحمد عرفة سعد</w:t>
      </w:r>
      <w:r w:rsidRPr="00DA4AC3">
        <w:rPr>
          <w:rFonts w:ascii="Times New Roman" w:eastAsia="Calibri" w:hAnsi="Times New Roman" w:cs="Times New Roman" w:hint="cs"/>
          <w:sz w:val="26"/>
          <w:szCs w:val="26"/>
          <w:vertAlign w:val="superscript"/>
          <w:rtl/>
        </w:rPr>
        <w:t>1</w:t>
      </w:r>
    </w:p>
    <w:p w14:paraId="3910F79F" w14:textId="77777777" w:rsidR="00DA4AC3" w:rsidRPr="00DA4AC3" w:rsidRDefault="00DA4AC3" w:rsidP="00DA4AC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vertAlign w:val="superscript"/>
          <w:rtl/>
        </w:rPr>
      </w:pPr>
    </w:p>
    <w:p w14:paraId="5AF867C6" w14:textId="77777777" w:rsidR="00DA4AC3" w:rsidRPr="00DA4AC3" w:rsidRDefault="00DA4AC3" w:rsidP="00DA4AC3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vertAlign w:val="superscript"/>
          <w:rtl/>
        </w:rPr>
      </w:pPr>
      <w:r w:rsidRPr="00DA4AC3">
        <w:rPr>
          <w:rFonts w:ascii="Times New Roman" w:eastAsia="Calibri" w:hAnsi="Times New Roman" w:cs="Times New Roman" w:hint="cs"/>
          <w:sz w:val="24"/>
          <w:szCs w:val="24"/>
          <w:rtl/>
        </w:rPr>
        <w:t>قسم طب الأطفال، كلية الطب بدمياط، جامعة الأزهر، مصر</w:t>
      </w:r>
      <w:r w:rsidRPr="00DA4AC3">
        <w:rPr>
          <w:rFonts w:ascii="Times New Roman" w:eastAsia="Calibri" w:hAnsi="Times New Roman" w:cs="Times New Roman" w:hint="cs"/>
          <w:sz w:val="24"/>
          <w:szCs w:val="24"/>
          <w:vertAlign w:val="superscript"/>
          <w:rtl/>
        </w:rPr>
        <w:t>1</w:t>
      </w:r>
    </w:p>
    <w:p w14:paraId="06B20F0B" w14:textId="77777777" w:rsidR="00DA4AC3" w:rsidRPr="00DA4AC3" w:rsidRDefault="00DA4AC3" w:rsidP="00DA4AC3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vertAlign w:val="superscript"/>
          <w:rtl/>
        </w:rPr>
      </w:pPr>
      <w:r w:rsidRPr="00DA4AC3">
        <w:rPr>
          <w:rFonts w:ascii="Times New Roman" w:eastAsia="Calibri" w:hAnsi="Times New Roman" w:cs="Times New Roman" w:hint="cs"/>
          <w:sz w:val="24"/>
          <w:szCs w:val="24"/>
          <w:rtl/>
        </w:rPr>
        <w:t>قسم الأمراض الصدرية، كلية الطب بدمياط، جامعة الأزهر، مصر</w:t>
      </w:r>
      <w:r w:rsidRPr="00DA4AC3">
        <w:rPr>
          <w:rFonts w:ascii="Times New Roman" w:eastAsia="Calibri" w:hAnsi="Times New Roman" w:cs="Times New Roman" w:hint="cs"/>
          <w:sz w:val="24"/>
          <w:szCs w:val="24"/>
          <w:vertAlign w:val="superscript"/>
          <w:rtl/>
        </w:rPr>
        <w:t>2</w:t>
      </w:r>
    </w:p>
    <w:p w14:paraId="77F7D2FD" w14:textId="77777777" w:rsidR="00DA4AC3" w:rsidRPr="00DA4AC3" w:rsidRDefault="00DA4AC3" w:rsidP="00DA4AC3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vertAlign w:val="superscript"/>
          <w:rtl/>
        </w:rPr>
      </w:pPr>
      <w:r w:rsidRPr="00DA4AC3">
        <w:rPr>
          <w:rFonts w:ascii="Times New Roman" w:eastAsia="Calibri" w:hAnsi="Times New Roman" w:cs="Times New Roman" w:hint="cs"/>
          <w:sz w:val="24"/>
          <w:szCs w:val="24"/>
          <w:rtl/>
        </w:rPr>
        <w:t>قسم الباثولوجيا الإكلينيكية، كلية الطب بدمياط، جامعة الأزهر، مصر</w:t>
      </w:r>
      <w:r w:rsidRPr="00DA4AC3">
        <w:rPr>
          <w:rFonts w:ascii="Times New Roman" w:eastAsia="Calibri" w:hAnsi="Times New Roman" w:cs="Times New Roman" w:hint="cs"/>
          <w:sz w:val="24"/>
          <w:szCs w:val="24"/>
          <w:vertAlign w:val="superscript"/>
          <w:rtl/>
        </w:rPr>
        <w:t>3</w:t>
      </w:r>
    </w:p>
    <w:p w14:paraId="79662460" w14:textId="77777777" w:rsidR="00DA4AC3" w:rsidRPr="00DA4AC3" w:rsidRDefault="00DA4AC3" w:rsidP="00DA4AC3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vertAlign w:val="superscript"/>
          <w:rtl/>
        </w:rPr>
      </w:pPr>
    </w:p>
    <w:p w14:paraId="5E8E6970" w14:textId="77777777" w:rsidR="00DA4AC3" w:rsidRPr="00DA4AC3" w:rsidRDefault="00DA4AC3" w:rsidP="00DA4AC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"/>
          <w:szCs w:val="2"/>
        </w:rPr>
      </w:pPr>
    </w:p>
    <w:p w14:paraId="186FE38D" w14:textId="77777777" w:rsidR="00DA4AC3" w:rsidRPr="00DA4AC3" w:rsidRDefault="00DA4AC3" w:rsidP="00DA4AC3">
      <w:pPr>
        <w:widowControl w:val="0"/>
        <w:bidi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rtl/>
        </w:rPr>
      </w:pPr>
      <w:r w:rsidRPr="00DA4AC3">
        <w:rPr>
          <w:rFonts w:ascii="Times New Roman" w:eastAsia="Calibri" w:hAnsi="Times New Roman" w:cs="Times New Roman"/>
          <w:b/>
          <w:bCs/>
          <w:sz w:val="20"/>
          <w:szCs w:val="20"/>
          <w:rtl/>
        </w:rPr>
        <w:t xml:space="preserve">المؤلف المراسل: </w:t>
      </w:r>
      <w:r w:rsidRPr="00DA4AC3">
        <w:rPr>
          <w:rFonts w:ascii="Times New Roman" w:eastAsia="Calibri" w:hAnsi="Times New Roman" w:cs="Times New Roman"/>
          <w:b/>
          <w:bCs/>
          <w:sz w:val="20"/>
          <w:szCs w:val="20"/>
        </w:rPr>
        <w:t>Ahmed Arafa Saad</w:t>
      </w:r>
    </w:p>
    <w:p w14:paraId="1779675A" w14:textId="77777777" w:rsidR="00DA4AC3" w:rsidRPr="00DA4AC3" w:rsidRDefault="00DA4AC3" w:rsidP="00DA4AC3">
      <w:pPr>
        <w:widowControl w:val="0"/>
        <w:bidi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rtl/>
        </w:rPr>
      </w:pPr>
      <w:r w:rsidRPr="00DA4AC3">
        <w:rPr>
          <w:rFonts w:ascii="Times New Roman" w:eastAsia="Calibri" w:hAnsi="Times New Roman" w:cs="Times New Roman"/>
          <w:b/>
          <w:bCs/>
          <w:sz w:val="20"/>
          <w:szCs w:val="20"/>
          <w:rtl/>
        </w:rPr>
        <w:t xml:space="preserve">البريد الالكتروني: </w:t>
      </w:r>
      <w:r w:rsidRPr="00DA4AC3">
        <w:rPr>
          <w:rFonts w:ascii="Times New Roman" w:eastAsia="Calibri" w:hAnsi="Times New Roman" w:cs="Times New Roman"/>
          <w:b/>
          <w:bCs/>
          <w:sz w:val="20"/>
          <w:szCs w:val="20"/>
        </w:rPr>
        <w:t>drmohamedataya@gmail.com</w:t>
      </w:r>
    </w:p>
    <w:p w14:paraId="277E93FB" w14:textId="77777777" w:rsidR="00DA4AC3" w:rsidRPr="00DA4AC3" w:rsidRDefault="00DA4AC3" w:rsidP="00DA4AC3">
      <w:pPr>
        <w:bidi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  <w:rtl/>
        </w:rPr>
      </w:pPr>
      <w:r w:rsidRPr="00DA4AC3">
        <w:rPr>
          <w:rFonts w:ascii="Times New Roman" w:eastAsia="Calibri" w:hAnsi="Times New Roman" w:cs="Times New Roman"/>
          <w:sz w:val="20"/>
          <w:szCs w:val="20"/>
          <w:rtl/>
          <w:lang w:bidi="ar-EG"/>
        </w:rPr>
        <w:t xml:space="preserve">المعرف الرقمي للمقالة: </w:t>
      </w:r>
      <w:r w:rsidRPr="00DA4AC3">
        <w:rPr>
          <w:rFonts w:ascii="Times New Roman" w:eastAsia="Calibri" w:hAnsi="Times New Roman" w:cs="Times New Roman"/>
          <w:sz w:val="20"/>
          <w:szCs w:val="20"/>
          <w:lang w:bidi="ar-EG"/>
        </w:rPr>
        <w:t>10.21608/ijma.2020.14621.1018</w:t>
      </w:r>
    </w:p>
    <w:p w14:paraId="3DFFC512" w14:textId="77777777" w:rsidR="00DA4AC3" w:rsidRPr="00DA4AC3" w:rsidRDefault="00DA4AC3" w:rsidP="00DA4AC3">
      <w:pPr>
        <w:bidi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A4AC3">
        <w:rPr>
          <w:rFonts w:ascii="Times New Roman" w:eastAsia="Calibri" w:hAnsi="Times New Roman" w:cs="Times New Roman"/>
          <w:sz w:val="18"/>
          <w:szCs w:val="18"/>
          <w:rtl/>
        </w:rPr>
        <w:t xml:space="preserve">تاريخ الاستلام: </w:t>
      </w:r>
      <w:r w:rsidRPr="00DA4AC3">
        <w:rPr>
          <w:rFonts w:ascii="Times New Roman" w:eastAsia="Calibri" w:hAnsi="Times New Roman" w:cs="Times New Roman" w:hint="cs"/>
          <w:sz w:val="18"/>
          <w:szCs w:val="18"/>
          <w:rtl/>
        </w:rPr>
        <w:t>3-9-2019، تاريخ المراجعة: 3-2-2020، تاريخ القبول للنشر 3-2-2020، تاريخ النشر علي الموقع الالكتروني للمجلة: 3-2-2020.</w:t>
      </w:r>
    </w:p>
    <w:p w14:paraId="183828EB" w14:textId="77777777" w:rsidR="00DA4AC3" w:rsidRPr="00DA4AC3" w:rsidRDefault="00DA4AC3" w:rsidP="00DA4AC3">
      <w:pPr>
        <w:widowControl w:val="0"/>
        <w:bidi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vertAlign w:val="superscript"/>
        </w:rPr>
      </w:pPr>
    </w:p>
    <w:p w14:paraId="3D868FFF" w14:textId="77777777" w:rsidR="00DA4AC3" w:rsidRPr="00DA4AC3" w:rsidRDefault="00DA4AC3" w:rsidP="00DA4AC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6"/>
          <w:szCs w:val="6"/>
        </w:rPr>
      </w:pPr>
    </w:p>
    <w:p w14:paraId="6E4EEE32" w14:textId="77777777" w:rsidR="00DA4AC3" w:rsidRPr="00DA4AC3" w:rsidRDefault="00DA4AC3" w:rsidP="00DA4AC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8"/>
          <w:szCs w:val="8"/>
        </w:rPr>
      </w:pPr>
    </w:p>
    <w:p w14:paraId="6514D5B8" w14:textId="77777777" w:rsidR="00DA4AC3" w:rsidRPr="00DA4AC3" w:rsidRDefault="00DA4AC3" w:rsidP="00DA4AC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2E74B5"/>
          <w:sz w:val="2"/>
          <w:szCs w:val="2"/>
        </w:rPr>
      </w:pPr>
    </w:p>
    <w:p w14:paraId="6B57E0DD" w14:textId="77777777" w:rsidR="00DA4AC3" w:rsidRPr="00DA4AC3" w:rsidRDefault="00DA4AC3" w:rsidP="00DA4AC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2E74B5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DA4AC3" w:rsidRPr="00DA4AC3" w14:paraId="3F967FE4" w14:textId="77777777" w:rsidTr="0054732C">
        <w:tc>
          <w:tcPr>
            <w:tcW w:w="5000" w:type="pct"/>
            <w:tcBorders>
              <w:top w:val="single" w:sz="24" w:space="0" w:color="385623"/>
              <w:left w:val="nil"/>
              <w:bottom w:val="single" w:sz="24" w:space="0" w:color="385623"/>
              <w:right w:val="nil"/>
            </w:tcBorders>
            <w:shd w:val="clear" w:color="auto" w:fill="auto"/>
          </w:tcPr>
          <w:p w14:paraId="255A6324" w14:textId="77777777" w:rsidR="00DA4AC3" w:rsidRPr="00DA4AC3" w:rsidRDefault="00DA4AC3" w:rsidP="00DA4AC3">
            <w:pPr>
              <w:widowControl w:val="0"/>
              <w:spacing w:after="0" w:line="240" w:lineRule="auto"/>
              <w:ind w:left="1173" w:hanging="117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DA4AC3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الملخص باللغة العربية</w:t>
            </w:r>
          </w:p>
          <w:p w14:paraId="179A2270" w14:textId="77777777" w:rsidR="00DA4AC3" w:rsidRPr="00DA4AC3" w:rsidRDefault="00DA4AC3" w:rsidP="00DA4AC3">
            <w:pPr>
              <w:widowControl w:val="0"/>
              <w:bidi/>
              <w:spacing w:after="0" w:line="240" w:lineRule="auto"/>
              <w:ind w:left="1173" w:hanging="1173"/>
              <w:jc w:val="both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DA4AC3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 xml:space="preserve">المقدمة: </w:t>
            </w:r>
            <w:r w:rsidRPr="00DA4AC3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يصيب </w:t>
            </w:r>
            <w:r w:rsidRPr="00DA4AC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الربو </w:t>
            </w:r>
            <w:r w:rsidRPr="00DA4AC3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الشعبي</w:t>
            </w:r>
            <w:r w:rsidRPr="00DA4AC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 1-18 ٪ من الأطفال في مختلف البلدان، </w:t>
            </w:r>
            <w:r w:rsidRPr="00DA4AC3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وهو من الأمراض الصدرية المزمنة واسعة الانتشار. و</w:t>
            </w:r>
            <w:r w:rsidRPr="00DA4AC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يزيد فيتامين دي من امتصاص الكالسيوم من الجهاز الهضمي ، ويحدد صحة العظام وينظم الوظيفة العصبية العضلية. </w:t>
            </w:r>
            <w:r w:rsidRPr="00DA4AC3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و</w:t>
            </w:r>
            <w:r w:rsidRPr="00DA4AC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بالإضافة إلى ذلك ، </w:t>
            </w:r>
            <w:r w:rsidRPr="00DA4AC3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فإن </w:t>
            </w:r>
            <w:r w:rsidRPr="00DA4AC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فيتامين د هو منظم قوي لجهاز المناعة، وله دور محتمل في أمراض الحساسية المختلفة</w:t>
            </w:r>
            <w:r w:rsidRPr="00DA4AC3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.</w:t>
            </w:r>
          </w:p>
          <w:p w14:paraId="0F27EBAC" w14:textId="77777777" w:rsidR="00DA4AC3" w:rsidRPr="00DA4AC3" w:rsidRDefault="00DA4AC3" w:rsidP="00DA4AC3">
            <w:pPr>
              <w:widowControl w:val="0"/>
              <w:bidi/>
              <w:spacing w:after="0" w:line="240" w:lineRule="auto"/>
              <w:ind w:left="1173" w:hanging="1173"/>
              <w:jc w:val="both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DA4AC3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 xml:space="preserve">الهدف من الدراسة: </w:t>
            </w:r>
            <w:r w:rsidRPr="00DA4AC3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تقييم </w:t>
            </w:r>
            <w:r w:rsidRPr="00DA4AC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العلاقة بين الربو</w:t>
            </w:r>
            <w:r w:rsidRPr="00DA4AC3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الشعي</w:t>
            </w:r>
            <w:r w:rsidRPr="00DA4AC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 و</w:t>
            </w:r>
            <w:r w:rsidRPr="00DA4AC3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مستويات </w:t>
            </w:r>
            <w:r w:rsidRPr="00DA4AC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فيتامين د </w:t>
            </w:r>
            <w:r w:rsidRPr="00DA4AC3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لدي</w:t>
            </w:r>
            <w:r w:rsidRPr="00DA4AC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 الأطفال</w:t>
            </w:r>
          </w:p>
          <w:p w14:paraId="0988D5D1" w14:textId="77777777" w:rsidR="00DA4AC3" w:rsidRPr="00DA4AC3" w:rsidRDefault="00DA4AC3" w:rsidP="00DA4AC3">
            <w:pPr>
              <w:widowControl w:val="0"/>
              <w:bidi/>
              <w:spacing w:after="0" w:line="240" w:lineRule="auto"/>
              <w:ind w:left="1173" w:hanging="1173"/>
              <w:jc w:val="both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DA4AC3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 xml:space="preserve">المرضي وطرق البحث: </w:t>
            </w:r>
            <w:r w:rsidRPr="00DA4AC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العمل الحالي عبارة عن دراسة </w:t>
            </w:r>
            <w:r w:rsidRPr="00DA4AC3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تشمل </w:t>
            </w:r>
            <w:r w:rsidRPr="00DA4AC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حالات</w:t>
            </w:r>
            <w:r w:rsidRPr="00DA4AC3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ومجموعة حاكمة، وقد اشتملت الدراسة علي </w:t>
            </w:r>
            <w:r w:rsidRPr="00DA4AC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150 (100 طفل مصاب بالربو</w:t>
            </w:r>
            <w:r w:rsidRPr="00DA4AC3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الشعبي</w:t>
            </w:r>
            <w:r w:rsidRPr="00DA4AC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 و 50 </w:t>
            </w:r>
            <w:r w:rsidRPr="00DA4AC3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من الأصحاء كمجموعة حاكمة</w:t>
            </w:r>
            <w:r w:rsidRPr="00DA4AC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) تتراوح أعمارهم بين 5 و 12 عامًا. </w:t>
            </w:r>
            <w:r w:rsidRPr="00DA4AC3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و</w:t>
            </w:r>
            <w:r w:rsidRPr="00DA4AC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تم تقييم مستويات 25- هيدروكسي</w:t>
            </w:r>
            <w:r w:rsidRPr="00DA4AC3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فيتامين د</w:t>
            </w:r>
            <w:r w:rsidRPr="00DA4AC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 في الدم ومقارنتها بين </w:t>
            </w:r>
            <w:r w:rsidRPr="00DA4AC3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ال</w:t>
            </w:r>
            <w:r w:rsidRPr="00DA4AC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مجموعتين. </w:t>
            </w:r>
            <w:r w:rsidRPr="00DA4AC3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و</w:t>
            </w:r>
            <w:r w:rsidRPr="00DA4AC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تمت دراسة العلاقة بين فيتامين (د) </w:t>
            </w:r>
            <w:r w:rsidRPr="00DA4AC3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اختبارات وظائف التنفس</w:t>
            </w:r>
            <w:r w:rsidRPr="00DA4AC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 عند الأطفال المصابين بالربو</w:t>
            </w:r>
            <w:r w:rsidRPr="00DA4AC3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الشعبي</w:t>
            </w:r>
            <w:r w:rsidRPr="00DA4AC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.</w:t>
            </w:r>
          </w:p>
          <w:p w14:paraId="617F6C78" w14:textId="77777777" w:rsidR="00DA4AC3" w:rsidRPr="00DA4AC3" w:rsidRDefault="00DA4AC3" w:rsidP="00DA4AC3">
            <w:pPr>
              <w:widowControl w:val="0"/>
              <w:bidi/>
              <w:spacing w:after="0" w:line="240" w:lineRule="auto"/>
              <w:ind w:left="1173" w:hanging="1173"/>
              <w:jc w:val="both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DA4AC3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النتائج:</w:t>
            </w:r>
            <w:r w:rsidRPr="00DA4AC3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DA4AC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كان للحالات قيم أقل بكثير من مستويات </w:t>
            </w:r>
            <w:r w:rsidRPr="00DA4AC3">
              <w:rPr>
                <w:rFonts w:ascii="Times New Roman" w:eastAsia="Calibri" w:hAnsi="Times New Roman" w:cs="Times New Roman"/>
                <w:sz w:val="24"/>
                <w:szCs w:val="24"/>
              </w:rPr>
              <w:t>FEV1٪</w:t>
            </w:r>
            <w:r w:rsidRPr="00DA4AC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 و </w:t>
            </w:r>
            <w:r w:rsidRPr="00DA4AC3">
              <w:rPr>
                <w:rFonts w:ascii="Times New Roman" w:eastAsia="Calibri" w:hAnsi="Times New Roman" w:cs="Times New Roman"/>
                <w:sz w:val="24"/>
                <w:szCs w:val="24"/>
              </w:rPr>
              <w:t>FEV1 / FVC</w:t>
            </w:r>
            <w:r w:rsidRPr="00DA4AC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 ومستويات فيتامين-د بالمقارنة مع </w:t>
            </w:r>
            <w:r w:rsidRPr="00DA4AC3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المجموعة الضابطة</w:t>
            </w:r>
            <w:r w:rsidRPr="00DA4AC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 (53.20 ± 6.27 و 68.64 ± 4.42 و 24.44 ± 20.92 مقابل 126.44 ± 10.15 و 107.20 ± 5.05 و 84.25 ± 41.79 على التوالي). </w:t>
            </w:r>
            <w:r w:rsidRPr="00DA4AC3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و</w:t>
            </w:r>
            <w:r w:rsidRPr="00DA4AC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بالإضافة إلى ذلك ، </w:t>
            </w:r>
            <w:r w:rsidRPr="00DA4AC3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وجد ارتباط طردي وذو دلالة إحصائية بين فيتامين د و</w:t>
            </w:r>
            <w:r w:rsidRPr="00DA4AC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اختبارات وظائف الرئة (</w:t>
            </w:r>
            <w:r w:rsidRPr="00DA4AC3">
              <w:rPr>
                <w:rFonts w:ascii="Times New Roman" w:eastAsia="Calibri" w:hAnsi="Times New Roman" w:cs="Times New Roman"/>
                <w:sz w:val="24"/>
                <w:szCs w:val="24"/>
              </w:rPr>
              <w:t>FEV1</w:t>
            </w:r>
            <w:r w:rsidRPr="00DA4AC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 ٪ و </w:t>
            </w:r>
            <w:r w:rsidRPr="00DA4AC3">
              <w:rPr>
                <w:rFonts w:ascii="Times New Roman" w:eastAsia="Calibri" w:hAnsi="Times New Roman" w:cs="Times New Roman"/>
                <w:sz w:val="24"/>
                <w:szCs w:val="24"/>
              </w:rPr>
              <w:t>FEV1 / FVC</w:t>
            </w:r>
            <w:r w:rsidRPr="00DA4AC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).</w:t>
            </w:r>
          </w:p>
          <w:p w14:paraId="7071249D" w14:textId="77777777" w:rsidR="00DA4AC3" w:rsidRPr="00DA4AC3" w:rsidRDefault="00DA4AC3" w:rsidP="00DA4AC3">
            <w:pPr>
              <w:widowControl w:val="0"/>
              <w:bidi/>
              <w:spacing w:after="0" w:line="240" w:lineRule="auto"/>
              <w:ind w:left="1173" w:hanging="117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4AC3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الخلاصة:</w:t>
            </w:r>
            <w:r w:rsidRPr="00DA4AC3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DA4AC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الأطفال الذين يعانون من الربو </w:t>
            </w:r>
            <w:r w:rsidRPr="00DA4AC3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الشعبي لديهم </w:t>
            </w:r>
            <w:r w:rsidRPr="00DA4AC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انخفاض ملحوظ في فيتامين (د) الذي يرتبط مع شدة الربو</w:t>
            </w:r>
            <w:r w:rsidRPr="00DA4AC3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الشعبي. </w:t>
            </w:r>
          </w:p>
        </w:tc>
      </w:tr>
    </w:tbl>
    <w:p w14:paraId="0BB51430" w14:textId="77777777" w:rsidR="00DA4AC3" w:rsidRPr="00DA4AC3" w:rsidRDefault="00DA4AC3" w:rsidP="00DA4AC3">
      <w:pPr>
        <w:widowControl w:val="0"/>
        <w:spacing w:after="0" w:line="240" w:lineRule="auto"/>
        <w:ind w:left="597" w:hanging="597"/>
        <w:jc w:val="both"/>
        <w:rPr>
          <w:rFonts w:ascii="Times New Roman" w:eastAsia="Calibri" w:hAnsi="Times New Roman" w:cs="Times New Roman"/>
          <w:b/>
          <w:bCs/>
          <w:sz w:val="10"/>
          <w:szCs w:val="10"/>
        </w:rPr>
      </w:pPr>
    </w:p>
    <w:p w14:paraId="3CD43E6B" w14:textId="77777777" w:rsidR="00DA4AC3" w:rsidRPr="00DA4AC3" w:rsidRDefault="00DA4AC3" w:rsidP="00DA4AC3">
      <w:pPr>
        <w:widowControl w:val="0"/>
        <w:spacing w:after="0" w:line="240" w:lineRule="auto"/>
        <w:ind w:left="597" w:hanging="597"/>
        <w:jc w:val="both"/>
        <w:rPr>
          <w:rFonts w:ascii="Times New Roman" w:eastAsia="Calibri" w:hAnsi="Times New Roman" w:cs="Times New Roman"/>
          <w:sz w:val="8"/>
          <w:szCs w:val="8"/>
        </w:rPr>
      </w:pPr>
    </w:p>
    <w:p w14:paraId="356B6590" w14:textId="77777777" w:rsidR="00DA4AC3" w:rsidRPr="00DA4AC3" w:rsidRDefault="00DA4AC3" w:rsidP="00DA4AC3">
      <w:pPr>
        <w:widowControl w:val="0"/>
        <w:bidi/>
        <w:spacing w:after="0" w:line="240" w:lineRule="auto"/>
        <w:ind w:left="597" w:hanging="597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DA4AC3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الكلمات المفتاحية: </w:t>
      </w:r>
      <w:r w:rsidRPr="00DA4AC3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الربو الشعبي، الأطفال، وظائف الرئة، فيتامين د، الارتباط. </w:t>
      </w:r>
    </w:p>
    <w:p w14:paraId="74242538" w14:textId="77777777" w:rsidR="00DA4AC3" w:rsidRPr="00DA4AC3" w:rsidRDefault="00DA4AC3" w:rsidP="00DA4AC3">
      <w:pPr>
        <w:widowControl w:val="0"/>
        <w:bidi/>
        <w:spacing w:after="0" w:line="240" w:lineRule="auto"/>
        <w:ind w:left="597" w:hanging="597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bidi="ar-EG"/>
        </w:rPr>
      </w:pPr>
    </w:p>
    <w:p w14:paraId="29B4C25E" w14:textId="77777777" w:rsidR="00DA4AC3" w:rsidRPr="00DA4AC3" w:rsidRDefault="00DA4AC3" w:rsidP="00DA4AC3">
      <w:pPr>
        <w:widowControl w:val="0"/>
        <w:bidi/>
        <w:spacing w:after="0" w:line="240" w:lineRule="auto"/>
        <w:ind w:left="597" w:hanging="597"/>
        <w:jc w:val="both"/>
        <w:rPr>
          <w:rFonts w:ascii="Times New Roman" w:eastAsia="Calibri" w:hAnsi="Times New Roman" w:cs="Times New Roman"/>
          <w:sz w:val="20"/>
          <w:szCs w:val="20"/>
          <w:lang w:bidi="ar-EG"/>
        </w:rPr>
      </w:pPr>
      <w:r w:rsidRPr="00DA4AC3">
        <w:rPr>
          <w:rFonts w:ascii="Times New Roman" w:eastAsia="Calibri" w:hAnsi="Times New Roman" w:cs="Times New Roman"/>
          <w:sz w:val="20"/>
          <w:szCs w:val="20"/>
          <w:rtl/>
          <w:lang w:bidi="ar-EG"/>
        </w:rPr>
        <w:t>هذه مقالة مفتوحة المصدر تحت رخصة المشاع الإبداعي (</w:t>
      </w:r>
      <w:r w:rsidRPr="00DA4AC3">
        <w:rPr>
          <w:rFonts w:ascii="Times New Roman" w:eastAsia="Calibri" w:hAnsi="Times New Roman" w:cs="Times New Roman"/>
          <w:sz w:val="20"/>
          <w:szCs w:val="20"/>
          <w:lang w:bidi="ar-EG"/>
        </w:rPr>
        <w:t>CC BY</w:t>
      </w:r>
      <w:r w:rsidRPr="00DA4AC3">
        <w:rPr>
          <w:rFonts w:ascii="Times New Roman" w:eastAsia="Calibri" w:hAnsi="Times New Roman" w:cs="Times New Roman"/>
          <w:sz w:val="20"/>
          <w:szCs w:val="20"/>
          <w:rtl/>
          <w:lang w:bidi="ar-EG"/>
        </w:rPr>
        <w:t xml:space="preserve">) النسخة الثانية </w:t>
      </w:r>
      <w:r w:rsidRPr="00DA4AC3">
        <w:rPr>
          <w:rFonts w:ascii="Times New Roman" w:eastAsia="Calibri" w:hAnsi="Times New Roman" w:cs="Times New Roman"/>
          <w:sz w:val="20"/>
          <w:szCs w:val="20"/>
          <w:lang w:bidi="ar-EG"/>
        </w:rPr>
        <w:t>[https://creativecommons.org/licenses/by/2.0/]</w:t>
      </w:r>
    </w:p>
    <w:p w14:paraId="703A0062" w14:textId="28CA2621" w:rsidR="00EB301A" w:rsidRDefault="00EB301A" w:rsidP="00DA4AC3">
      <w:pPr>
        <w:rPr>
          <w:lang w:bidi="ar-EG"/>
        </w:rPr>
      </w:pPr>
      <w:bookmarkStart w:id="1" w:name="_GoBack"/>
      <w:bookmarkEnd w:id="0"/>
      <w:bookmarkEnd w:id="1"/>
    </w:p>
    <w:sectPr w:rsidR="00EB30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AC3"/>
    <w:rsid w:val="005B7681"/>
    <w:rsid w:val="009E5869"/>
    <w:rsid w:val="00DA4AC3"/>
    <w:rsid w:val="00EB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60B9E"/>
  <w15:chartTrackingRefBased/>
  <w15:docId w15:val="{E643A919-8BEF-433B-BC95-8EAB1854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Mahmoud</dc:creator>
  <cp:keywords/>
  <dc:description/>
  <cp:lastModifiedBy>Dr Mahmoud</cp:lastModifiedBy>
  <cp:revision>1</cp:revision>
  <dcterms:created xsi:type="dcterms:W3CDTF">2020-02-09T21:44:00Z</dcterms:created>
  <dcterms:modified xsi:type="dcterms:W3CDTF">2020-02-09T21:44:00Z</dcterms:modified>
</cp:coreProperties>
</file>